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left"/>
        <w:rPr>
          <w:rFonts w:ascii="黑体" w:eastAsia="黑体" w:cs="宋体"/>
          <w:color w:val="000000"/>
          <w:kern w:val="0"/>
          <w:sz w:val="32"/>
          <w:szCs w:val="32"/>
        </w:rPr>
      </w:pPr>
    </w:p>
    <w:p>
      <w:pPr>
        <w:widowControl/>
        <w:spacing w:line="560" w:lineRule="exact"/>
        <w:jc w:val="left"/>
        <w:rPr>
          <w:rFonts w:ascii="黑体" w:eastAsia="黑体" w:cs="宋体"/>
          <w:color w:val="000000"/>
          <w:kern w:val="0"/>
          <w:sz w:val="32"/>
          <w:szCs w:val="32"/>
        </w:rPr>
      </w:pPr>
      <w:r>
        <w:rPr>
          <w:rFonts w:hint="eastAsia" w:ascii="黑体" w:eastAsia="黑体" w:cs="宋体"/>
          <w:color w:val="000000"/>
          <w:kern w:val="0"/>
          <w:sz w:val="32"/>
          <w:szCs w:val="32"/>
        </w:rPr>
        <w:t>附件</w:t>
      </w:r>
    </w:p>
    <w:p>
      <w:pPr>
        <w:widowControl/>
        <w:adjustRightInd w:val="0"/>
        <w:snapToGrid w:val="0"/>
        <w:spacing w:line="560" w:lineRule="exact"/>
        <w:rPr>
          <w:rFonts w:ascii="黑体" w:eastAsia="黑体" w:cs="宋体"/>
          <w:color w:val="000000"/>
          <w:kern w:val="0"/>
          <w:sz w:val="32"/>
          <w:szCs w:val="32"/>
        </w:rPr>
      </w:pPr>
    </w:p>
    <w:p>
      <w:pPr>
        <w:widowControl/>
        <w:adjustRightInd w:val="0"/>
        <w:snapToGrid w:val="0"/>
        <w:spacing w:line="560" w:lineRule="exact"/>
        <w:jc w:val="center"/>
        <w:rPr>
          <w:rFonts w:ascii="方正小标宋简体" w:eastAsia="方正小标宋简体" w:cs="方正小标宋简体"/>
          <w:color w:val="000000"/>
          <w:kern w:val="0"/>
          <w:sz w:val="44"/>
          <w:szCs w:val="44"/>
        </w:rPr>
      </w:pPr>
      <w:bookmarkStart w:id="0" w:name="_GoBack"/>
      <w:r>
        <w:rPr>
          <w:rFonts w:hint="eastAsia" w:ascii="方正小标宋简体" w:eastAsia="方正小标宋简体" w:cs="方正小标宋简体"/>
          <w:color w:val="000000"/>
          <w:kern w:val="0"/>
          <w:sz w:val="44"/>
          <w:szCs w:val="44"/>
        </w:rPr>
        <w:t>广西壮族自治区中医药管理局2021年度</w:t>
      </w:r>
    </w:p>
    <w:p>
      <w:pPr>
        <w:widowControl/>
        <w:adjustRightInd w:val="0"/>
        <w:snapToGrid w:val="0"/>
        <w:spacing w:line="560" w:lineRule="exact"/>
        <w:jc w:val="center"/>
        <w:rPr>
          <w:rFonts w:ascii="方正小标宋简体" w:eastAsia="方正小标宋简体" w:cs="方正小标宋简体"/>
          <w:color w:val="000000"/>
          <w:kern w:val="0"/>
          <w:sz w:val="44"/>
          <w:szCs w:val="44"/>
        </w:rPr>
      </w:pPr>
      <w:r>
        <w:rPr>
          <w:rFonts w:hint="eastAsia" w:ascii="方正小标宋简体" w:eastAsia="方正小标宋简体" w:cs="方正小标宋简体"/>
          <w:color w:val="000000"/>
          <w:kern w:val="0"/>
          <w:sz w:val="44"/>
          <w:szCs w:val="44"/>
        </w:rPr>
        <w:t>中央对地方转移支付中医药资金自评表</w:t>
      </w:r>
    </w:p>
    <w:bookmarkEnd w:id="0"/>
    <w:tbl>
      <w:tblPr>
        <w:tblStyle w:val="29"/>
        <w:tblpPr w:leftFromText="180" w:rightFromText="180" w:vertAnchor="text" w:tblpXSpec="center" w:tblpY="1"/>
        <w:tblOverlap w:val="never"/>
        <w:tblW w:w="10246" w:type="dxa"/>
        <w:tblInd w:w="0" w:type="dxa"/>
        <w:tblLayout w:type="fixed"/>
        <w:tblCellMar>
          <w:top w:w="0" w:type="dxa"/>
          <w:left w:w="108" w:type="dxa"/>
          <w:bottom w:w="0" w:type="dxa"/>
          <w:right w:w="108" w:type="dxa"/>
        </w:tblCellMar>
      </w:tblPr>
      <w:tblGrid>
        <w:gridCol w:w="769"/>
        <w:gridCol w:w="705"/>
        <w:gridCol w:w="280"/>
        <w:gridCol w:w="563"/>
        <w:gridCol w:w="2278"/>
        <w:gridCol w:w="1892"/>
        <w:gridCol w:w="1276"/>
        <w:gridCol w:w="432"/>
        <w:gridCol w:w="844"/>
        <w:gridCol w:w="1207"/>
      </w:tblGrid>
      <w:tr>
        <w:tblPrEx>
          <w:tblCellMar>
            <w:top w:w="0" w:type="dxa"/>
            <w:left w:w="108" w:type="dxa"/>
            <w:bottom w:w="0" w:type="dxa"/>
            <w:right w:w="108" w:type="dxa"/>
          </w:tblCellMar>
        </w:tblPrEx>
        <w:trPr>
          <w:trHeight w:val="439" w:hRule="atLeast"/>
        </w:trPr>
        <w:tc>
          <w:tcPr>
            <w:tcW w:w="10246" w:type="dxa"/>
            <w:gridSpan w:val="10"/>
            <w:tcBorders>
              <w:top w:val="nil"/>
              <w:left w:val="nil"/>
              <w:bottom w:val="single" w:color="auto" w:sz="4" w:space="0"/>
              <w:right w:val="nil"/>
            </w:tcBorders>
            <w:vAlign w:val="center"/>
          </w:tcPr>
          <w:p>
            <w:pPr>
              <w:widowControl/>
              <w:tabs>
                <w:tab w:val="center" w:pos="6559"/>
              </w:tabs>
              <w:adjustRightInd w:val="0"/>
              <w:snapToGrid w:val="0"/>
              <w:spacing w:line="240" w:lineRule="atLeast"/>
              <w:ind w:firstLine="4200" w:firstLineChars="1750"/>
              <w:rPr>
                <w:rFonts w:ascii="宋体" w:cs="宋体"/>
                <w:color w:val="000000"/>
                <w:kern w:val="0"/>
                <w:sz w:val="24"/>
                <w:szCs w:val="24"/>
              </w:rPr>
            </w:pPr>
            <w:r>
              <w:rPr>
                <w:rFonts w:hint="eastAsia" w:ascii="宋体" w:cs="宋体"/>
                <w:color w:val="000000"/>
                <w:kern w:val="0"/>
                <w:sz w:val="24"/>
                <w:szCs w:val="24"/>
              </w:rPr>
              <w:t>（2021年度）</w:t>
            </w:r>
          </w:p>
        </w:tc>
      </w:tr>
      <w:tr>
        <w:tblPrEx>
          <w:tblCellMar>
            <w:top w:w="0" w:type="dxa"/>
            <w:left w:w="108" w:type="dxa"/>
            <w:bottom w:w="0" w:type="dxa"/>
            <w:right w:w="108" w:type="dxa"/>
          </w:tblCellMar>
        </w:tblPrEx>
        <w:trPr>
          <w:trHeight w:val="432" w:hRule="atLeast"/>
        </w:trPr>
        <w:tc>
          <w:tcPr>
            <w:tcW w:w="1754" w:type="dxa"/>
            <w:gridSpan w:val="3"/>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转移支付</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（项目）名称</w:t>
            </w:r>
          </w:p>
        </w:tc>
        <w:tc>
          <w:tcPr>
            <w:tcW w:w="8492" w:type="dxa"/>
            <w:gridSpan w:val="7"/>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rPr>
            </w:pPr>
            <w:r>
              <w:rPr>
                <w:rFonts w:hint="eastAsia" w:ascii="仿宋_GB2312" w:eastAsia="仿宋_GB2312" w:cs="宋体"/>
                <w:color w:val="000000"/>
                <w:kern w:val="0"/>
                <w:sz w:val="24"/>
                <w:szCs w:val="24"/>
              </w:rPr>
              <w:t>中医药事业传承与发展资金</w:t>
            </w:r>
          </w:p>
        </w:tc>
      </w:tr>
      <w:tr>
        <w:tblPrEx>
          <w:tblCellMar>
            <w:top w:w="0" w:type="dxa"/>
            <w:left w:w="108" w:type="dxa"/>
            <w:bottom w:w="0" w:type="dxa"/>
            <w:right w:w="108" w:type="dxa"/>
          </w:tblCellMar>
        </w:tblPrEx>
        <w:trPr>
          <w:trHeight w:val="530" w:hRule="exact"/>
        </w:trPr>
        <w:tc>
          <w:tcPr>
            <w:tcW w:w="1754" w:type="dxa"/>
            <w:gridSpan w:val="3"/>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中央主管部门</w:t>
            </w:r>
          </w:p>
        </w:tc>
        <w:tc>
          <w:tcPr>
            <w:tcW w:w="8492" w:type="dxa"/>
            <w:gridSpan w:val="7"/>
            <w:tcBorders>
              <w:top w:val="single" w:color="auto" w:sz="4" w:space="0"/>
              <w:left w:val="nil"/>
              <w:bottom w:val="single" w:color="auto" w:sz="4" w:space="0"/>
              <w:right w:val="single" w:color="000000" w:sz="4" w:space="0"/>
            </w:tcBorders>
            <w:vAlign w:val="center"/>
          </w:tcPr>
          <w:p>
            <w:pPr>
              <w:widowControl/>
              <w:adjustRightInd w:val="0"/>
              <w:snapToGrid w:val="0"/>
              <w:spacing w:line="240" w:lineRule="atLeast"/>
              <w:rPr>
                <w:rFonts w:ascii="仿宋_GB2312" w:eastAsia="仿宋_GB2312" w:cs="宋体"/>
                <w:color w:val="000000"/>
                <w:kern w:val="0"/>
                <w:sz w:val="24"/>
                <w:szCs w:val="24"/>
              </w:rPr>
            </w:pPr>
            <w:r>
              <w:rPr>
                <w:rFonts w:hint="eastAsia" w:ascii="仿宋_GB2312" w:eastAsia="仿宋_GB2312" w:cs="宋体"/>
                <w:color w:val="000000"/>
                <w:kern w:val="0"/>
                <w:sz w:val="24"/>
                <w:szCs w:val="24"/>
              </w:rPr>
              <w:t>国家中医药管理局</w:t>
            </w:r>
          </w:p>
        </w:tc>
      </w:tr>
      <w:tr>
        <w:tblPrEx>
          <w:tblCellMar>
            <w:top w:w="0" w:type="dxa"/>
            <w:left w:w="108" w:type="dxa"/>
            <w:bottom w:w="0" w:type="dxa"/>
            <w:right w:w="108" w:type="dxa"/>
          </w:tblCellMar>
        </w:tblPrEx>
        <w:trPr>
          <w:trHeight w:val="587" w:hRule="exact"/>
        </w:trPr>
        <w:tc>
          <w:tcPr>
            <w:tcW w:w="1754" w:type="dxa"/>
            <w:gridSpan w:val="3"/>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地方主管部门</w:t>
            </w:r>
          </w:p>
        </w:tc>
        <w:tc>
          <w:tcPr>
            <w:tcW w:w="4733" w:type="dxa"/>
            <w:gridSpan w:val="3"/>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rPr>
            </w:pPr>
            <w:r>
              <w:rPr>
                <w:rFonts w:hint="eastAsia" w:ascii="仿宋_GB2312" w:eastAsia="仿宋_GB2312" w:cs="宋体"/>
                <w:color w:val="000000"/>
                <w:kern w:val="0"/>
                <w:sz w:val="24"/>
                <w:szCs w:val="24"/>
              </w:rPr>
              <w:t>广西壮族自治区中医药管理局</w:t>
            </w:r>
          </w:p>
        </w:tc>
        <w:tc>
          <w:tcPr>
            <w:tcW w:w="1708"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项目使用单位</w:t>
            </w:r>
          </w:p>
        </w:tc>
        <w:tc>
          <w:tcPr>
            <w:tcW w:w="2051" w:type="dxa"/>
            <w:gridSpan w:val="2"/>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714" w:hRule="exact"/>
        </w:trPr>
        <w:tc>
          <w:tcPr>
            <w:tcW w:w="1754"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项目资金</w:t>
            </w:r>
          </w:p>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（万元）</w:t>
            </w:r>
          </w:p>
        </w:tc>
        <w:tc>
          <w:tcPr>
            <w:tcW w:w="284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rPr>
            </w:pPr>
          </w:p>
        </w:tc>
        <w:tc>
          <w:tcPr>
            <w:tcW w:w="1892" w:type="dxa"/>
            <w:tcBorders>
              <w:top w:val="nil"/>
              <w:left w:val="nil"/>
              <w:bottom w:val="single" w:color="auto" w:sz="4" w:space="0"/>
              <w:right w:val="single" w:color="auto" w:sz="4" w:space="0"/>
            </w:tcBorders>
            <w:vAlign w:val="center"/>
          </w:tcPr>
          <w:p>
            <w:pPr>
              <w:widowControl/>
              <w:adjustRightInd w:val="0"/>
              <w:snapToGrid w:val="0"/>
              <w:spacing w:line="240" w:lineRule="atLeast"/>
              <w:ind w:left="360" w:hanging="360" w:hangingChars="150"/>
              <w:jc w:val="center"/>
              <w:rPr>
                <w:rFonts w:ascii="黑体" w:eastAsia="黑体" w:cs="宋体"/>
                <w:color w:val="000000"/>
                <w:kern w:val="0"/>
                <w:sz w:val="24"/>
                <w:szCs w:val="24"/>
              </w:rPr>
            </w:pPr>
            <w:r>
              <w:rPr>
                <w:rFonts w:hint="eastAsia" w:ascii="黑体" w:eastAsia="黑体" w:cs="宋体"/>
                <w:color w:val="000000"/>
                <w:kern w:val="0"/>
                <w:sz w:val="24"/>
                <w:szCs w:val="24"/>
              </w:rPr>
              <w:t>全年预算数（A）</w:t>
            </w:r>
          </w:p>
        </w:tc>
        <w:tc>
          <w:tcPr>
            <w:tcW w:w="1708" w:type="dxa"/>
            <w:gridSpan w:val="2"/>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ind w:left="360" w:hanging="360" w:hangingChars="150"/>
              <w:jc w:val="left"/>
              <w:rPr>
                <w:rFonts w:ascii="黑体" w:eastAsia="黑体" w:cs="宋体"/>
                <w:color w:val="000000"/>
                <w:kern w:val="0"/>
                <w:sz w:val="24"/>
                <w:szCs w:val="24"/>
              </w:rPr>
            </w:pPr>
            <w:r>
              <w:rPr>
                <w:rFonts w:hint="eastAsia" w:ascii="黑体" w:eastAsia="黑体" w:cs="宋体"/>
                <w:color w:val="000000"/>
                <w:kern w:val="0"/>
                <w:sz w:val="24"/>
                <w:szCs w:val="24"/>
              </w:rPr>
              <w:t>全年执行数（B）</w:t>
            </w:r>
          </w:p>
        </w:tc>
        <w:tc>
          <w:tcPr>
            <w:tcW w:w="205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预算执行率</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（B/A）</w:t>
            </w:r>
          </w:p>
        </w:tc>
      </w:tr>
      <w:tr>
        <w:tblPrEx>
          <w:tblCellMar>
            <w:top w:w="0" w:type="dxa"/>
            <w:left w:w="108" w:type="dxa"/>
            <w:bottom w:w="0" w:type="dxa"/>
            <w:right w:w="108" w:type="dxa"/>
          </w:tblCellMar>
        </w:tblPrEx>
        <w:trPr>
          <w:trHeight w:val="429" w:hRule="exact"/>
        </w:trPr>
        <w:tc>
          <w:tcPr>
            <w:tcW w:w="1754" w:type="dxa"/>
            <w:gridSpan w:val="3"/>
            <w:vMerge w:val="continue"/>
            <w:tcBorders>
              <w:top w:val="single" w:color="auto" w:sz="4" w:space="0"/>
              <w:left w:val="single" w:color="auto" w:sz="4" w:space="0"/>
              <w:bottom w:val="single" w:color="auto" w:sz="4" w:space="0"/>
              <w:right w:val="single" w:color="auto" w:sz="4" w:space="0"/>
            </w:tcBorders>
            <w:vAlign w:val="center"/>
          </w:tcPr>
          <w:p/>
        </w:tc>
        <w:tc>
          <w:tcPr>
            <w:tcW w:w="284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黑体" w:eastAsia="黑体" w:cs="宋体"/>
                <w:color w:val="000000"/>
                <w:kern w:val="0"/>
                <w:sz w:val="24"/>
                <w:szCs w:val="24"/>
              </w:rPr>
            </w:pPr>
            <w:r>
              <w:rPr>
                <w:rFonts w:hint="eastAsia" w:ascii="黑体" w:eastAsia="黑体" w:cs="宋体"/>
                <w:color w:val="000000"/>
                <w:kern w:val="0"/>
                <w:sz w:val="24"/>
                <w:szCs w:val="24"/>
              </w:rPr>
              <w:t>年度资金总额：</w:t>
            </w:r>
          </w:p>
        </w:tc>
        <w:tc>
          <w:tcPr>
            <w:tcW w:w="1892" w:type="dxa"/>
            <w:tcBorders>
              <w:top w:val="nil"/>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rPr>
            </w:pPr>
            <w:r>
              <w:rPr>
                <w:rFonts w:hint="eastAsia" w:ascii="仿宋_GB2312" w:eastAsia="仿宋_GB2312" w:cs="宋体"/>
                <w:color w:val="000000"/>
                <w:kern w:val="0"/>
                <w:sz w:val="24"/>
                <w:szCs w:val="24"/>
              </w:rPr>
              <w:t>8379</w:t>
            </w:r>
          </w:p>
        </w:tc>
        <w:tc>
          <w:tcPr>
            <w:tcW w:w="1708" w:type="dxa"/>
            <w:gridSpan w:val="2"/>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rPr>
            </w:pPr>
            <w:r>
              <w:rPr>
                <w:rFonts w:hint="eastAsia" w:ascii="仿宋_GB2312" w:eastAsia="仿宋_GB2312" w:cs="宋体"/>
                <w:color w:val="000000"/>
                <w:kern w:val="0"/>
                <w:sz w:val="24"/>
                <w:szCs w:val="24"/>
              </w:rPr>
              <w:t>7974.67</w:t>
            </w:r>
          </w:p>
        </w:tc>
        <w:tc>
          <w:tcPr>
            <w:tcW w:w="205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rPr>
            </w:pPr>
            <w:r>
              <w:rPr>
                <w:rFonts w:hint="eastAsia" w:ascii="仿宋_GB2312" w:eastAsia="仿宋_GB2312" w:cs="宋体"/>
                <w:color w:val="000000"/>
                <w:kern w:val="0"/>
                <w:sz w:val="24"/>
                <w:szCs w:val="24"/>
              </w:rPr>
              <w:t>95.17%</w:t>
            </w:r>
          </w:p>
        </w:tc>
      </w:tr>
      <w:tr>
        <w:tblPrEx>
          <w:tblCellMar>
            <w:top w:w="0" w:type="dxa"/>
            <w:left w:w="108" w:type="dxa"/>
            <w:bottom w:w="0" w:type="dxa"/>
            <w:right w:w="108" w:type="dxa"/>
          </w:tblCellMar>
        </w:tblPrEx>
        <w:trPr>
          <w:trHeight w:val="520" w:hRule="exact"/>
        </w:trPr>
        <w:tc>
          <w:tcPr>
            <w:tcW w:w="1754" w:type="dxa"/>
            <w:gridSpan w:val="3"/>
            <w:vMerge w:val="continue"/>
            <w:tcBorders>
              <w:top w:val="single" w:color="auto" w:sz="4" w:space="0"/>
              <w:left w:val="single" w:color="auto" w:sz="4" w:space="0"/>
              <w:bottom w:val="single" w:color="auto" w:sz="4" w:space="0"/>
              <w:right w:val="single" w:color="auto" w:sz="4" w:space="0"/>
            </w:tcBorders>
            <w:vAlign w:val="center"/>
          </w:tcPr>
          <w:p/>
        </w:tc>
        <w:tc>
          <w:tcPr>
            <w:tcW w:w="284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黑体" w:eastAsia="黑体" w:cs="宋体"/>
                <w:color w:val="000000"/>
                <w:kern w:val="0"/>
                <w:sz w:val="24"/>
                <w:szCs w:val="24"/>
              </w:rPr>
            </w:pPr>
            <w:r>
              <w:rPr>
                <w:rFonts w:hint="eastAsia" w:ascii="黑体" w:eastAsia="黑体" w:cs="宋体"/>
                <w:color w:val="000000"/>
                <w:kern w:val="0"/>
                <w:sz w:val="24"/>
                <w:szCs w:val="24"/>
              </w:rPr>
              <w:t>其中：中央财政资金</w:t>
            </w:r>
          </w:p>
        </w:tc>
        <w:tc>
          <w:tcPr>
            <w:tcW w:w="1892" w:type="dxa"/>
            <w:tcBorders>
              <w:top w:val="nil"/>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rPr>
            </w:pPr>
            <w:r>
              <w:rPr>
                <w:rFonts w:hint="eastAsia" w:ascii="仿宋_GB2312" w:eastAsia="仿宋_GB2312" w:cs="宋体"/>
                <w:color w:val="000000"/>
                <w:kern w:val="0"/>
                <w:sz w:val="24"/>
                <w:szCs w:val="24"/>
              </w:rPr>
              <w:t>8379</w:t>
            </w:r>
          </w:p>
        </w:tc>
        <w:tc>
          <w:tcPr>
            <w:tcW w:w="1708" w:type="dxa"/>
            <w:gridSpan w:val="2"/>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rPr>
            </w:pPr>
            <w:r>
              <w:rPr>
                <w:rFonts w:hint="eastAsia" w:ascii="仿宋_GB2312" w:eastAsia="仿宋_GB2312" w:cs="宋体"/>
                <w:color w:val="000000"/>
                <w:kern w:val="0"/>
                <w:sz w:val="24"/>
                <w:szCs w:val="24"/>
              </w:rPr>
              <w:t>7974.67</w:t>
            </w:r>
          </w:p>
        </w:tc>
        <w:tc>
          <w:tcPr>
            <w:tcW w:w="205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rPr>
            </w:pPr>
            <w:r>
              <w:rPr>
                <w:rFonts w:hint="eastAsia" w:ascii="仿宋_GB2312" w:eastAsia="仿宋_GB2312" w:cs="宋体"/>
                <w:color w:val="000000"/>
                <w:kern w:val="0"/>
                <w:sz w:val="24"/>
                <w:szCs w:val="24"/>
              </w:rPr>
              <w:t>95.17%</w:t>
            </w:r>
          </w:p>
        </w:tc>
      </w:tr>
      <w:tr>
        <w:tblPrEx>
          <w:tblCellMar>
            <w:top w:w="0" w:type="dxa"/>
            <w:left w:w="108" w:type="dxa"/>
            <w:bottom w:w="0" w:type="dxa"/>
            <w:right w:w="108" w:type="dxa"/>
          </w:tblCellMar>
        </w:tblPrEx>
        <w:trPr>
          <w:trHeight w:val="485" w:hRule="exact"/>
        </w:trPr>
        <w:tc>
          <w:tcPr>
            <w:tcW w:w="1754" w:type="dxa"/>
            <w:gridSpan w:val="3"/>
            <w:vMerge w:val="continue"/>
            <w:tcBorders>
              <w:top w:val="single" w:color="auto" w:sz="4" w:space="0"/>
              <w:left w:val="single" w:color="auto" w:sz="4" w:space="0"/>
              <w:bottom w:val="single" w:color="auto" w:sz="4" w:space="0"/>
              <w:right w:val="single" w:color="auto" w:sz="4" w:space="0"/>
            </w:tcBorders>
            <w:vAlign w:val="center"/>
          </w:tcPr>
          <w:p/>
        </w:tc>
        <w:tc>
          <w:tcPr>
            <w:tcW w:w="284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黑体" w:eastAsia="黑体" w:cs="宋体"/>
                <w:color w:val="000000"/>
                <w:kern w:val="0"/>
                <w:sz w:val="24"/>
                <w:szCs w:val="24"/>
              </w:rPr>
            </w:pPr>
            <w:r>
              <w:rPr>
                <w:rFonts w:hint="eastAsia" w:ascii="黑体" w:eastAsia="黑体" w:cs="宋体"/>
                <w:color w:val="000000"/>
                <w:kern w:val="0"/>
                <w:sz w:val="24"/>
                <w:szCs w:val="24"/>
              </w:rPr>
              <w:t>地方资金</w:t>
            </w:r>
          </w:p>
        </w:tc>
        <w:tc>
          <w:tcPr>
            <w:tcW w:w="1892" w:type="dxa"/>
            <w:tcBorders>
              <w:top w:val="nil"/>
              <w:left w:val="nil"/>
              <w:bottom w:val="single" w:color="auto" w:sz="4" w:space="0"/>
              <w:right w:val="single" w:color="auto" w:sz="4" w:space="0"/>
            </w:tcBorders>
            <w:vAlign w:val="center"/>
          </w:tcPr>
          <w:p>
            <w:pPr>
              <w:widowControl/>
              <w:adjustRightInd w:val="0"/>
              <w:snapToGrid w:val="0"/>
              <w:spacing w:line="240" w:lineRule="atLeast"/>
              <w:ind w:firstLine="240" w:firstLineChars="100"/>
              <w:rPr>
                <w:rFonts w:ascii="仿宋_GB2312" w:eastAsia="仿宋_GB2312" w:cs="宋体"/>
                <w:color w:val="000000"/>
                <w:kern w:val="0"/>
                <w:sz w:val="24"/>
                <w:szCs w:val="24"/>
                <w:highlight w:val="yellow"/>
              </w:rPr>
            </w:pPr>
          </w:p>
        </w:tc>
        <w:tc>
          <w:tcPr>
            <w:tcW w:w="1708" w:type="dxa"/>
            <w:gridSpan w:val="2"/>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c>
          <w:tcPr>
            <w:tcW w:w="205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433" w:hRule="exact"/>
        </w:trPr>
        <w:tc>
          <w:tcPr>
            <w:tcW w:w="1754" w:type="dxa"/>
            <w:gridSpan w:val="3"/>
            <w:vMerge w:val="continue"/>
            <w:tcBorders>
              <w:top w:val="single" w:color="auto" w:sz="4" w:space="0"/>
              <w:left w:val="single" w:color="auto" w:sz="4" w:space="0"/>
              <w:bottom w:val="single" w:color="auto" w:sz="4" w:space="0"/>
              <w:right w:val="single" w:color="auto" w:sz="4" w:space="0"/>
            </w:tcBorders>
            <w:vAlign w:val="center"/>
          </w:tcPr>
          <w:p/>
        </w:tc>
        <w:tc>
          <w:tcPr>
            <w:tcW w:w="284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黑体" w:eastAsia="黑体" w:cs="宋体"/>
                <w:color w:val="000000"/>
                <w:kern w:val="0"/>
                <w:sz w:val="24"/>
                <w:szCs w:val="24"/>
              </w:rPr>
            </w:pPr>
            <w:r>
              <w:rPr>
                <w:rFonts w:hint="eastAsia" w:ascii="黑体" w:eastAsia="黑体" w:cs="宋体"/>
                <w:color w:val="000000"/>
                <w:kern w:val="0"/>
                <w:sz w:val="24"/>
                <w:szCs w:val="24"/>
              </w:rPr>
              <w:t>其他资金</w:t>
            </w:r>
          </w:p>
        </w:tc>
        <w:tc>
          <w:tcPr>
            <w:tcW w:w="1892"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c>
          <w:tcPr>
            <w:tcW w:w="1708" w:type="dxa"/>
            <w:gridSpan w:val="2"/>
            <w:tcBorders>
              <w:top w:val="single" w:color="auto" w:sz="4" w:space="0"/>
              <w:left w:val="nil"/>
              <w:bottom w:val="single" w:color="auto" w:sz="4" w:space="0"/>
              <w:right w:val="single" w:color="000000"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c>
          <w:tcPr>
            <w:tcW w:w="2051" w:type="dxa"/>
            <w:gridSpan w:val="2"/>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571" w:hRule="exact"/>
        </w:trPr>
        <w:tc>
          <w:tcPr>
            <w:tcW w:w="769"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总体</w:t>
            </w:r>
          </w:p>
          <w:p>
            <w:pPr>
              <w:widowControl/>
              <w:adjustRightInd w:val="0"/>
              <w:snapToGrid w:val="0"/>
              <w:spacing w:line="240" w:lineRule="atLeast"/>
              <w:jc w:val="center"/>
              <w:rPr>
                <w:rFonts w:ascii="仿宋_GB2312" w:eastAsia="仿宋_GB2312" w:cs="宋体"/>
                <w:color w:val="000000"/>
                <w:kern w:val="0"/>
                <w:sz w:val="24"/>
                <w:szCs w:val="24"/>
                <w:highlight w:val="yellow"/>
              </w:rPr>
            </w:pPr>
            <w:r>
              <w:rPr>
                <w:rFonts w:hint="eastAsia" w:ascii="黑体" w:eastAsia="黑体" w:cs="宋体"/>
                <w:color w:val="000000"/>
                <w:kern w:val="0"/>
                <w:sz w:val="24"/>
                <w:szCs w:val="24"/>
              </w:rPr>
              <w:t>目标完成情况</w:t>
            </w:r>
          </w:p>
        </w:tc>
        <w:tc>
          <w:tcPr>
            <w:tcW w:w="5718" w:type="dxa"/>
            <w:gridSpan w:val="5"/>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总体目标</w:t>
            </w:r>
          </w:p>
        </w:tc>
        <w:tc>
          <w:tcPr>
            <w:tcW w:w="3759" w:type="dxa"/>
            <w:gridSpan w:val="4"/>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全年实际完成情况</w:t>
            </w:r>
          </w:p>
        </w:tc>
      </w:tr>
      <w:tr>
        <w:tblPrEx>
          <w:tblCellMar>
            <w:top w:w="0" w:type="dxa"/>
            <w:left w:w="108" w:type="dxa"/>
            <w:bottom w:w="0" w:type="dxa"/>
            <w:right w:w="108" w:type="dxa"/>
          </w:tblCellMar>
        </w:tblPrEx>
        <w:trPr>
          <w:trHeight w:val="783" w:hRule="atLeast"/>
        </w:trPr>
        <w:tc>
          <w:tcPr>
            <w:tcW w:w="769" w:type="dxa"/>
            <w:vMerge w:val="continue"/>
            <w:tcBorders>
              <w:top w:val="single" w:color="auto" w:sz="4" w:space="0"/>
              <w:left w:val="single" w:color="auto" w:sz="4" w:space="0"/>
              <w:bottom w:val="single" w:color="auto" w:sz="4" w:space="0"/>
              <w:right w:val="single" w:color="auto" w:sz="4" w:space="0"/>
            </w:tcBorders>
            <w:vAlign w:val="center"/>
          </w:tcPr>
          <w:p/>
        </w:tc>
        <w:tc>
          <w:tcPr>
            <w:tcW w:w="5718" w:type="dxa"/>
            <w:gridSpan w:val="5"/>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目标1:继续支持中医药传承与创新"百千万"人才工程(岐黄工程)遴选的中青年中医药骨干人才及中医药传承与创新人才培养平台开展培训及建设。</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目标2:加强基层中医药骨干人才培养,搭建一批基层中医药人才培养平台,提高中医药人才的素质和水平。</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目标3:加强中医药监督管理人员及执法人员的法治教育、业务教育,全面提高其专业水平和业务能力。</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目标4:在全国布局建设一批中医药特色优势鲜明、综合救治能力和综合保障能力较强的国家中医应急医疗队伍。</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目标5:在乡镇卫生院和社区卫生服务中心开展中医综合服务区(中医馆)服务能力建设。</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目标6;:加强中医医院康复科建设,提升中医药特色康复服务能力。</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目标7:支持省级治未病中心优化服务流程,制定并完善治未病服务标准、规范及指南,开展治未病技术方法研究和创 新 。</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目标8:提升中医临床疗效评价能力,创新完善符合中医药临床诊疗本体特点的疗效评价方法和技术。</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目标9:开展道地药材生态种植示范基地建设,加快推进中药质量追溯体系建设。</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目标10:组织中医药文化传播活动,建设传播平台,推出优质中医药文化产品。</w:t>
            </w:r>
          </w:p>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宋体"/>
                <w:color w:val="000000"/>
                <w:kern w:val="0"/>
                <w:szCs w:val="21"/>
              </w:rPr>
              <w:t>目标11:提升中医药古籍保护利用和公共服务能力,对分布在基层、民间的中医药传统知识进行抢救性调查、挖掘和整 理 。</w:t>
            </w:r>
          </w:p>
          <w:p>
            <w:pPr>
              <w:widowControl/>
              <w:adjustRightInd w:val="0"/>
              <w:snapToGrid w:val="0"/>
              <w:spacing w:line="240" w:lineRule="atLeast"/>
              <w:rPr>
                <w:rFonts w:ascii="仿宋_GB2312" w:eastAsia="仿宋_GB2312" w:cs="宋体"/>
                <w:color w:val="000000"/>
                <w:kern w:val="0"/>
                <w:szCs w:val="21"/>
              </w:rPr>
            </w:pPr>
          </w:p>
        </w:tc>
        <w:tc>
          <w:tcPr>
            <w:tcW w:w="3759" w:type="dxa"/>
            <w:gridSpan w:val="4"/>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宋体"/>
                <w:color w:val="000000"/>
                <w:kern w:val="0"/>
                <w:szCs w:val="21"/>
              </w:rPr>
              <w:t>2021年，中央对地方（广西）转移支付中医药资金分为36个项目，其中广西基层医疗卫生机构中医综合服务区（中医馆）服务能力建设、国家中医疫病防治队伍和应急队伍建设、全国名老中医药传承工作室、道地药材生态种植及质量保障、少数民族服务能力建设、中医特色康复服务能力建设等36个项目指标均已按预期目标开展，总体目标完成度</w:t>
            </w:r>
            <w:r>
              <w:rPr>
                <w:rFonts w:ascii="仿宋_GB2312" w:eastAsia="仿宋_GB2312" w:cs="宋体"/>
                <w:color w:val="000000"/>
                <w:kern w:val="0"/>
                <w:szCs w:val="21"/>
              </w:rPr>
              <w:t>95.17%</w:t>
            </w:r>
            <w:r>
              <w:rPr>
                <w:rFonts w:hint="eastAsia" w:ascii="仿宋_GB2312" w:eastAsia="仿宋_GB2312" w:cs="宋体"/>
                <w:color w:val="000000"/>
                <w:kern w:val="0"/>
                <w:szCs w:val="21"/>
              </w:rPr>
              <w:t>，完成情况良好。</w:t>
            </w:r>
          </w:p>
        </w:tc>
      </w:tr>
      <w:tr>
        <w:tblPrEx>
          <w:tblCellMar>
            <w:top w:w="0" w:type="dxa"/>
            <w:left w:w="108" w:type="dxa"/>
            <w:bottom w:w="0" w:type="dxa"/>
            <w:right w:w="108" w:type="dxa"/>
          </w:tblCellMar>
        </w:tblPrEx>
        <w:trPr>
          <w:trHeight w:val="1117" w:hRule="exact"/>
        </w:trPr>
        <w:tc>
          <w:tcPr>
            <w:tcW w:w="769" w:type="dxa"/>
            <w:vMerge w:val="restart"/>
            <w:tcBorders>
              <w:top w:val="single" w:color="auto" w:sz="4" w:space="0"/>
              <w:left w:val="single" w:color="auto" w:sz="4" w:space="0"/>
              <w:right w:val="single" w:color="auto" w:sz="4" w:space="0"/>
            </w:tcBorders>
            <w:textDirection w:val="tbRlV"/>
            <w:vAlign w:val="center"/>
          </w:tcPr>
          <w:p>
            <w:pPr>
              <w:widowControl/>
              <w:adjustRightInd w:val="0"/>
              <w:snapToGrid w:val="0"/>
              <w:spacing w:line="240" w:lineRule="atLeast"/>
              <w:ind w:firstLine="240" w:firstLineChars="100"/>
              <w:jc w:val="center"/>
              <w:rPr>
                <w:rFonts w:ascii="仿宋_GB2312" w:eastAsia="仿宋_GB2312" w:cs="宋体"/>
                <w:color w:val="000000"/>
                <w:kern w:val="0"/>
                <w:sz w:val="24"/>
                <w:szCs w:val="24"/>
              </w:rPr>
            </w:pPr>
            <w:r>
              <w:rPr>
                <w:rFonts w:hint="eastAsia" w:ascii="黑体" w:eastAsia="黑体" w:cs="宋体"/>
                <w:color w:val="000000"/>
                <w:kern w:val="0"/>
                <w:sz w:val="24"/>
                <w:szCs w:val="24"/>
              </w:rPr>
              <w:t xml:space="preserve">                                           绩效指标</w:t>
            </w:r>
          </w:p>
        </w:tc>
        <w:tc>
          <w:tcPr>
            <w:tcW w:w="705"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一级</w:t>
            </w:r>
            <w:r>
              <w:rPr>
                <w:rFonts w:hint="eastAsia" w:ascii="黑体" w:eastAsia="黑体" w:cs="宋体"/>
                <w:color w:val="000000"/>
                <w:kern w:val="0"/>
                <w:sz w:val="24"/>
                <w:szCs w:val="24"/>
              </w:rPr>
              <w:br w:type="textWrapping"/>
            </w:r>
            <w:r>
              <w:rPr>
                <w:rFonts w:hint="eastAsia" w:ascii="黑体" w:eastAsia="黑体" w:cs="宋体"/>
                <w:color w:val="000000"/>
                <w:kern w:val="0"/>
                <w:sz w:val="24"/>
                <w:szCs w:val="24"/>
              </w:rPr>
              <w:t>指标</w:t>
            </w:r>
          </w:p>
        </w:tc>
        <w:tc>
          <w:tcPr>
            <w:tcW w:w="843"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二级</w:t>
            </w:r>
          </w:p>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三级指标</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指标值</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全年实际完成值</w:t>
            </w:r>
          </w:p>
        </w:tc>
        <w:tc>
          <w:tcPr>
            <w:tcW w:w="1207" w:type="dxa"/>
            <w:tcBorders>
              <w:top w:val="single" w:color="auto" w:sz="4" w:space="0"/>
              <w:left w:val="nil"/>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未完成</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原因和</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改进措施</w:t>
            </w: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restart"/>
            <w:tcBorders>
              <w:top w:val="single" w:color="auto" w:sz="4" w:space="0"/>
              <w:left w:val="single" w:color="auto" w:sz="4" w:space="0"/>
              <w:right w:val="single" w:color="auto" w:sz="4" w:space="0"/>
            </w:tcBorders>
            <w:vAlign w:val="center"/>
          </w:tcPr>
          <w:p>
            <w:pPr>
              <w:widowControl/>
              <w:adjustRightInd w:val="0"/>
              <w:snapToGrid w:val="0"/>
              <w:spacing w:line="240" w:lineRule="atLeast"/>
              <w:rPr>
                <w:rFonts w:ascii="黑体" w:eastAsia="黑体" w:cs="宋体"/>
                <w:color w:val="000000"/>
                <w:kern w:val="0"/>
                <w:sz w:val="24"/>
                <w:szCs w:val="24"/>
              </w:rPr>
            </w:pPr>
            <w:r>
              <w:rPr>
                <w:rFonts w:hint="eastAsia" w:ascii="黑体" w:eastAsia="黑体" w:cs="宋体"/>
                <w:color w:val="000000"/>
                <w:kern w:val="0"/>
                <w:sz w:val="24"/>
                <w:szCs w:val="24"/>
              </w:rPr>
              <w:t>产出指标</w:t>
            </w:r>
          </w:p>
          <w:p>
            <w:pPr>
              <w:adjustRightInd w:val="0"/>
              <w:snapToGrid w:val="0"/>
              <w:spacing w:line="240" w:lineRule="atLeast"/>
              <w:rPr>
                <w:rFonts w:ascii="黑体" w:eastAsia="黑体" w:cs="宋体"/>
                <w:color w:val="000000"/>
                <w:kern w:val="0"/>
                <w:sz w:val="24"/>
                <w:szCs w:val="24"/>
              </w:rPr>
            </w:pPr>
          </w:p>
        </w:tc>
        <w:tc>
          <w:tcPr>
            <w:tcW w:w="843"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数量</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指标</w:t>
            </w:r>
          </w:p>
          <w:p>
            <w:pPr>
              <w:jc w:val="center"/>
              <w:rPr>
                <w:rFonts w:ascii="黑体" w:eastAsia="黑体" w:cs="宋体"/>
                <w:color w:val="000000"/>
                <w:kern w:val="0"/>
                <w:sz w:val="24"/>
                <w:szCs w:val="24"/>
              </w:rPr>
            </w:p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中医药传承与创新"百千万"人才工程</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45个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rPr>
            </w:pPr>
            <w:r>
              <w:rPr>
                <w:rFonts w:hint="eastAsia" w:ascii="仿宋_GB2312" w:eastAsia="仿宋_GB2312" w:cs="Times New Roman"/>
                <w:color w:val="000000"/>
                <w:kern w:val="0"/>
                <w:sz w:val="24"/>
                <w:szCs w:val="24"/>
              </w:rPr>
              <w:t>44个</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highlight w:val="yellow"/>
              </w:rPr>
            </w:pPr>
          </w:p>
        </w:tc>
      </w:tr>
      <w:tr>
        <w:tblPrEx>
          <w:tblCellMar>
            <w:top w:w="0" w:type="dxa"/>
            <w:left w:w="108" w:type="dxa"/>
            <w:bottom w:w="0" w:type="dxa"/>
            <w:right w:w="108" w:type="dxa"/>
          </w:tblCellMar>
        </w:tblPrEx>
        <w:trPr>
          <w:trHeight w:val="528"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中医药特色人才培养专项</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308个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rPr>
            </w:pPr>
            <w:r>
              <w:rPr>
                <w:rFonts w:hint="eastAsia" w:ascii="仿宋_GB2312" w:eastAsia="仿宋_GB2312" w:cs="Times New Roman"/>
                <w:color w:val="000000"/>
                <w:kern w:val="0"/>
                <w:sz w:val="24"/>
                <w:szCs w:val="24"/>
              </w:rPr>
              <w:t>450个</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中医药监督知识与能力培训</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103人</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111人</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highlight w:val="yellow"/>
              </w:rPr>
            </w:pPr>
          </w:p>
        </w:tc>
      </w:tr>
      <w:tr>
        <w:tblPrEx>
          <w:tblCellMar>
            <w:top w:w="0" w:type="dxa"/>
            <w:left w:w="108" w:type="dxa"/>
            <w:bottom w:w="0" w:type="dxa"/>
            <w:right w:w="108" w:type="dxa"/>
          </w:tblCellMar>
        </w:tblPrEx>
        <w:trPr>
          <w:trHeight w:val="431"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国家中医应急医疗队伍能力建设项目</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1个</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国家中医药应对重大公共卫生事件和疫病防治骨干人才库</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1个</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基层医疗卫生机构中医综合服务区(中医馆)服务能力建设</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11</w:t>
            </w:r>
            <w:r>
              <w:rPr>
                <w:rFonts w:hint="eastAsia" w:ascii="仿宋_GB2312" w:eastAsia="仿宋_GB2312" w:cs="Times New Roman"/>
                <w:color w:val="000000"/>
                <w:kern w:val="0"/>
                <w:sz w:val="24"/>
                <w:szCs w:val="24"/>
              </w:rPr>
              <w:t>0</w:t>
            </w:r>
            <w:r>
              <w:rPr>
                <w:rFonts w:ascii="仿宋_GB2312" w:eastAsia="仿宋_GB2312" w:cs="Times New Roman"/>
                <w:color w:val="000000"/>
                <w:kern w:val="0"/>
                <w:sz w:val="24"/>
                <w:szCs w:val="24"/>
              </w:rPr>
              <w:t>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150个</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中医药康复服务能力提升工程</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8个</w:t>
            </w:r>
          </w:p>
        </w:tc>
        <w:tc>
          <w:tcPr>
            <w:tcW w:w="1207" w:type="dxa"/>
            <w:tcBorders>
              <w:top w:val="nil"/>
              <w:left w:val="nil"/>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治未病健康工程</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Cs w:val="21"/>
                <w:highlight w:val="yellow"/>
              </w:rPr>
            </w:pPr>
            <w:r>
              <w:rPr>
                <w:rFonts w:hint="eastAsia" w:ascii="仿宋_GB2312" w:eastAsia="仿宋_GB2312" w:cs="Times New Roman"/>
                <w:color w:val="000000"/>
                <w:kern w:val="0"/>
                <w:sz w:val="24"/>
                <w:szCs w:val="24"/>
              </w:rPr>
              <w:t>6个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基于中医临床研究基地优势病种的中医临床疗效评价能力提升</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道地药材生态种植及质量保障</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5个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386"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中医药文化研究成果</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5个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5个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restart"/>
            <w:tcBorders>
              <w:left w:val="single" w:color="auto" w:sz="4" w:space="0"/>
              <w:right w:val="single" w:color="auto" w:sz="4" w:space="0"/>
            </w:tcBorders>
            <w:textDirection w:val="tbRlV"/>
            <w:vAlign w:val="center"/>
          </w:tcPr>
          <w:p>
            <w:pPr>
              <w:adjustRightInd w:val="0"/>
              <w:snapToGrid w:val="0"/>
              <w:spacing w:line="240" w:lineRule="atLeast"/>
              <w:ind w:firstLine="210" w:firstLineChars="100"/>
              <w:jc w:val="center"/>
              <w:rPr>
                <w:highlight w:val="yellow"/>
              </w:rPr>
            </w:p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中医药文化体验场馆建设</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 w:val="24"/>
                <w:szCs w:val="24"/>
              </w:rPr>
              <w:t>≥</w:t>
            </w:r>
            <w:r>
              <w:rPr>
                <w:rFonts w:ascii="仿宋_GB2312" w:eastAsia="仿宋_GB2312" w:cs="Times New Roman"/>
                <w:color w:val="000000"/>
                <w:kern w:val="0"/>
                <w:sz w:val="24"/>
                <w:szCs w:val="24"/>
              </w:rPr>
              <w:t>5个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Cs w:val="21"/>
                <w:highlight w:val="yellow"/>
              </w:rPr>
            </w:pPr>
            <w:r>
              <w:rPr>
                <w:rFonts w:hint="eastAsia" w:ascii="仿宋_GB2312" w:eastAsia="仿宋_GB2312" w:cs="Times New Roman"/>
                <w:color w:val="000000"/>
                <w:kern w:val="0"/>
                <w:sz w:val="24"/>
                <w:szCs w:val="24"/>
              </w:rPr>
              <w:t>9个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359"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举办中医药文化主题活动</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10场</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Cs w:val="21"/>
                <w:highlight w:val="yellow"/>
              </w:rPr>
            </w:pPr>
            <w:r>
              <w:rPr>
                <w:rFonts w:hint="eastAsia" w:ascii="仿宋_GB2312" w:eastAsia="仿宋_GB2312" w:cs="Times New Roman"/>
                <w:color w:val="000000"/>
                <w:kern w:val="0"/>
                <w:sz w:val="24"/>
                <w:szCs w:val="24"/>
              </w:rPr>
              <w:t>10</w:t>
            </w:r>
            <w:r>
              <w:rPr>
                <w:rFonts w:ascii="仿宋_GB2312" w:eastAsia="仿宋_GB2312" w:cs="Times New Roman"/>
                <w:color w:val="000000"/>
                <w:kern w:val="0"/>
                <w:sz w:val="24"/>
                <w:szCs w:val="24"/>
              </w:rPr>
              <w:t>场</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示范性中医药健康文化知识角建设</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30个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Cs w:val="21"/>
                <w:highlight w:val="yellow"/>
              </w:rPr>
            </w:pPr>
            <w:r>
              <w:rPr>
                <w:rFonts w:hint="eastAsia" w:ascii="仿宋_GB2312" w:eastAsia="仿宋_GB2312" w:cs="Times New Roman"/>
                <w:color w:val="000000"/>
                <w:kern w:val="0"/>
                <w:sz w:val="24"/>
                <w:szCs w:val="24"/>
              </w:rPr>
              <w:t>104个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中医药文化产品制作</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10个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13个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84"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中医药文化进校园</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5所</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8</w:t>
            </w:r>
            <w:r>
              <w:rPr>
                <w:rFonts w:ascii="仿宋_GB2312" w:eastAsia="仿宋_GB2312" w:cs="Times New Roman"/>
                <w:color w:val="000000"/>
                <w:kern w:val="0"/>
                <w:sz w:val="24"/>
                <w:szCs w:val="24"/>
              </w:rPr>
              <w:t>所</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中医药文化科普巡讲专家培训</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50人次</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Cs w:val="21"/>
                <w:highlight w:val="yellow"/>
              </w:rPr>
            </w:pPr>
            <w:r>
              <w:rPr>
                <w:rFonts w:hint="eastAsia" w:ascii="仿宋_GB2312" w:eastAsia="仿宋_GB2312" w:cs="Times New Roman"/>
                <w:color w:val="000000"/>
                <w:kern w:val="0"/>
                <w:sz w:val="24"/>
                <w:szCs w:val="24"/>
              </w:rPr>
              <w:t>100</w:t>
            </w:r>
            <w:r>
              <w:rPr>
                <w:rFonts w:ascii="仿宋_GB2312" w:eastAsia="仿宋_GB2312" w:cs="Times New Roman"/>
                <w:color w:val="000000"/>
                <w:kern w:val="0"/>
                <w:sz w:val="24"/>
                <w:szCs w:val="24"/>
              </w:rPr>
              <w:t>人次</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中医药古籍保护与传统知识收集整理</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2个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Cs w:val="21"/>
                <w:highlight w:val="yellow"/>
              </w:rPr>
            </w:pPr>
            <w:r>
              <w:rPr>
                <w:rFonts w:hint="eastAsia" w:ascii="仿宋_GB2312" w:eastAsia="仿宋_GB2312" w:cs="Times New Roman"/>
                <w:color w:val="000000"/>
                <w:kern w:val="0"/>
                <w:sz w:val="24"/>
                <w:szCs w:val="24"/>
              </w:rPr>
              <w:t>4个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国医大师传承工作室</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 w:val="24"/>
                <w:szCs w:val="24"/>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1个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全国名中医传承工作室</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1个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少数民族服务能力建设</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 w:val="24"/>
                <w:szCs w:val="24"/>
              </w:rPr>
              <w:t>≥</w:t>
            </w:r>
            <w:r>
              <w:rPr>
                <w:rFonts w:ascii="仿宋_GB2312" w:eastAsia="仿宋_GB2312" w:cs="Times New Roman"/>
                <w:color w:val="000000"/>
                <w:kern w:val="0"/>
                <w:sz w:val="24"/>
                <w:szCs w:val="24"/>
              </w:rPr>
              <w:t>4个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4个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国家区域中医(专科)诊疗中心</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3个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3个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中西医结合临床试点能力提升</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7个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7个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财务绩效工作业务培训班</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全国中医药健康文化素养调查点</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12个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12个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bottom w:val="single" w:color="auto" w:sz="4" w:space="0"/>
              <w:right w:val="single" w:color="auto" w:sz="4" w:space="0"/>
            </w:tcBorders>
            <w:vAlign w:val="center"/>
          </w:tcPr>
          <w:p/>
        </w:tc>
        <w:tc>
          <w:tcPr>
            <w:tcW w:w="705" w:type="dxa"/>
            <w:vMerge w:val="continue"/>
            <w:tcBorders>
              <w:left w:val="single" w:color="auto" w:sz="4" w:space="0"/>
              <w:bottom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ind w:left="-105" w:leftChars="-50" w:right="-105" w:rightChars="-50"/>
              <w:rPr>
                <w:rFonts w:ascii="仿宋_GB2312" w:eastAsia="仿宋_GB2312" w:cs="Times New Roman"/>
                <w:color w:val="000000"/>
                <w:spacing w:val="-6"/>
                <w:kern w:val="0"/>
                <w:szCs w:val="21"/>
              </w:rPr>
            </w:pPr>
            <w:r>
              <w:rPr>
                <w:rFonts w:hint="eastAsia" w:ascii="仿宋_GB2312" w:eastAsia="仿宋_GB2312" w:cs="Times New Roman"/>
                <w:color w:val="000000"/>
                <w:spacing w:val="-6"/>
                <w:kern w:val="0"/>
                <w:szCs w:val="21"/>
              </w:rPr>
              <w:t>中药资源质量评价与标准化公共服务检测平台</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2个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2个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restart"/>
            <w:tcBorders>
              <w:top w:val="single" w:color="auto" w:sz="4" w:space="0"/>
              <w:left w:val="single" w:color="auto" w:sz="4" w:space="0"/>
              <w:right w:val="single" w:color="auto" w:sz="4" w:space="0"/>
            </w:tcBorders>
            <w:textDirection w:val="tbRlV"/>
            <w:vAlign w:val="center"/>
          </w:tcPr>
          <w:p>
            <w:pPr>
              <w:adjustRightInd w:val="0"/>
              <w:snapToGrid w:val="0"/>
              <w:spacing w:line="240" w:lineRule="atLeast"/>
              <w:ind w:right="113" w:firstLine="210"/>
              <w:jc w:val="center"/>
            </w:pPr>
            <w:r>
              <w:rPr>
                <w:rFonts w:hint="eastAsia" w:ascii="黑体" w:eastAsia="黑体" w:cs="宋体"/>
                <w:color w:val="000000"/>
                <w:kern w:val="0"/>
                <w:sz w:val="24"/>
                <w:szCs w:val="24"/>
              </w:rPr>
              <w:t>绩效指标</w:t>
            </w:r>
          </w:p>
        </w:tc>
        <w:tc>
          <w:tcPr>
            <w:tcW w:w="705" w:type="dxa"/>
            <w:vMerge w:val="restart"/>
            <w:tcBorders>
              <w:top w:val="single" w:color="auto" w:sz="4" w:space="0"/>
              <w:left w:val="single" w:color="auto" w:sz="4" w:space="0"/>
              <w:right w:val="single" w:color="auto" w:sz="4" w:space="0"/>
            </w:tcBorders>
            <w:vAlign w:val="center"/>
          </w:tcPr>
          <w:p>
            <w:pPr>
              <w:widowControl/>
              <w:adjustRightInd w:val="0"/>
              <w:snapToGrid w:val="0"/>
              <w:spacing w:line="240" w:lineRule="atLeast"/>
              <w:rPr>
                <w:rFonts w:ascii="黑体" w:eastAsia="黑体" w:cs="宋体"/>
                <w:color w:val="000000"/>
                <w:kern w:val="0"/>
                <w:sz w:val="24"/>
                <w:szCs w:val="24"/>
              </w:rPr>
            </w:pPr>
            <w:r>
              <w:rPr>
                <w:rFonts w:hint="eastAsia" w:ascii="黑体" w:eastAsia="黑体" w:cs="宋体"/>
                <w:color w:val="000000"/>
                <w:kern w:val="0"/>
                <w:sz w:val="24"/>
                <w:szCs w:val="24"/>
              </w:rPr>
              <w:t>产出指标</w:t>
            </w:r>
          </w:p>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中医壮瑶医智慧中医医院试点建设项目</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3个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3个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中医药资源监测站</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1个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"定制药园"建设项目</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宋体"/>
                <w:color w:val="000000"/>
                <w:kern w:val="0"/>
                <w:sz w:val="24"/>
                <w:szCs w:val="24"/>
              </w:rPr>
              <w:t>1</w:t>
            </w:r>
            <w:r>
              <w:rPr>
                <w:rFonts w:ascii="仿宋_GB2312" w:eastAsia="仿宋_GB2312" w:cs="宋体"/>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中药材质量追溯体系建设</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中医特色医院能力提升</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中医药高层次人才培养</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 w:val="24"/>
                <w:szCs w:val="24"/>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中医药产业信息平台建设</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中药壮瑶药道地资源传承挖掘展示</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中医药文化宣传</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精品中医馆</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宋体"/>
                <w:color w:val="000000"/>
                <w:kern w:val="0"/>
                <w:szCs w:val="21"/>
                <w:highlight w:val="yellow"/>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tcPr>
          <w:p>
            <w:pPr>
              <w:rPr>
                <w:rFonts w:ascii="仿宋_GB2312" w:eastAsia="仿宋_GB2312" w:cs="Times New Roman"/>
                <w:color w:val="000000"/>
                <w:kern w:val="0"/>
                <w:szCs w:val="21"/>
              </w:rPr>
            </w:pPr>
            <w:r>
              <w:rPr>
                <w:rFonts w:ascii="仿宋_GB2312" w:eastAsia="仿宋_GB2312" w:cs="Times New Roman"/>
                <w:color w:val="000000"/>
                <w:kern w:val="0"/>
                <w:szCs w:val="21"/>
              </w:rPr>
              <w:t>基层中医药人才培养项目</w:t>
            </w:r>
          </w:p>
        </w:tc>
        <w:tc>
          <w:tcPr>
            <w:tcW w:w="1276" w:type="dxa"/>
            <w:tcBorders>
              <w:top w:val="single" w:color="auto" w:sz="4" w:space="0"/>
              <w:left w:val="single" w:color="auto" w:sz="4" w:space="0"/>
              <w:bottom w:val="single" w:color="auto" w:sz="4" w:space="0"/>
              <w:right w:val="single" w:color="auto" w:sz="4" w:space="0"/>
            </w:tcBorders>
          </w:tcPr>
          <w:p>
            <w:pPr>
              <w:widowControl/>
              <w:adjustRightInd w:val="0"/>
              <w:snapToGrid w:val="0"/>
              <w:spacing w:line="400" w:lineRule="atLeast"/>
              <w:jc w:val="left"/>
              <w:rPr>
                <w:rFonts w:ascii="仿宋_GB2312" w:eastAsia="仿宋_GB2312" w:cs="Times New Roman"/>
                <w:color w:val="000000"/>
                <w:kern w:val="0"/>
                <w:sz w:val="24"/>
                <w:szCs w:val="24"/>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1项</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400" w:lineRule="atLeast"/>
              <w:jc w:val="center"/>
              <w:rPr>
                <w:rFonts w:ascii="仿宋_GB2312" w:eastAsia="仿宋_GB2312" w:cs="Times New Roman"/>
                <w:color w:val="000000"/>
                <w:kern w:val="0"/>
                <w:sz w:val="24"/>
                <w:szCs w:val="24"/>
              </w:rPr>
            </w:pPr>
            <w:r>
              <w:rPr>
                <w:rFonts w:hint="eastAsia" w:ascii="仿宋_GB2312" w:eastAsia="仿宋_GB2312" w:cs="Times New Roman"/>
                <w:color w:val="000000"/>
                <w:kern w:val="0"/>
                <w:sz w:val="24"/>
                <w:szCs w:val="24"/>
              </w:rPr>
              <w:t>1</w:t>
            </w:r>
            <w:r>
              <w:rPr>
                <w:rFonts w:ascii="仿宋_GB2312" w:eastAsia="仿宋_GB2312" w:cs="Times New Roman"/>
                <w:color w:val="000000"/>
                <w:kern w:val="0"/>
                <w:sz w:val="24"/>
                <w:szCs w:val="24"/>
              </w:rPr>
              <w:t>项</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328"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质量</w:t>
            </w:r>
          </w:p>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项目建设合格率</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≥90%</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ascii="仿宋_GB2312" w:eastAsia="仿宋_GB2312" w:cs="Times New Roman"/>
                <w:color w:val="000000"/>
                <w:kern w:val="0"/>
                <w:szCs w:val="21"/>
              </w:rPr>
              <w:t>98.94%</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培训计划完成率</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≥95%</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Cs w:val="21"/>
              </w:rPr>
            </w:pPr>
            <w:r>
              <w:rPr>
                <w:rFonts w:hint="eastAsia" w:ascii="仿宋_GB2312" w:eastAsia="仿宋_GB2312" w:cs="宋体"/>
                <w:color w:val="000000"/>
                <w:kern w:val="0"/>
                <w:szCs w:val="21"/>
              </w:rPr>
              <w:t>100%</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37"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人才培养合格率</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≥95%</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center"/>
              <w:rPr>
                <w:rFonts w:ascii="仿宋_GB2312" w:eastAsia="仿宋_GB2312" w:cs="宋体"/>
                <w:color w:val="000000"/>
                <w:kern w:val="0"/>
                <w:szCs w:val="21"/>
              </w:rPr>
            </w:pPr>
            <w:r>
              <w:rPr>
                <w:rFonts w:hint="eastAsia" w:ascii="仿宋_GB2312" w:eastAsia="仿宋_GB2312" w:cs="宋体"/>
                <w:color w:val="000000"/>
                <w:kern w:val="0"/>
                <w:szCs w:val="21"/>
              </w:rPr>
              <w:t>98.5%</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37"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中医药健康文化素养调查点达标率</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≥90%</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center"/>
              <w:rPr>
                <w:rFonts w:ascii="仿宋_GB2312" w:eastAsia="仿宋_GB2312" w:cs="宋体"/>
                <w:color w:val="000000"/>
                <w:kern w:val="0"/>
                <w:szCs w:val="21"/>
              </w:rPr>
            </w:pPr>
            <w:r>
              <w:rPr>
                <w:rFonts w:hint="eastAsia" w:ascii="仿宋_GB2312" w:eastAsia="仿宋_GB2312" w:cs="宋体"/>
                <w:color w:val="000000"/>
                <w:kern w:val="0"/>
                <w:szCs w:val="21"/>
              </w:rPr>
              <w:t>100%</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37"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财政支持建设得中医馆接入健康信息平台比例</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≥80%</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Cs w:val="21"/>
              </w:rPr>
            </w:pPr>
            <w:r>
              <w:rPr>
                <w:rFonts w:hint="eastAsia" w:ascii="仿宋_GB2312" w:eastAsia="仿宋_GB2312" w:cs="宋体"/>
                <w:color w:val="000000"/>
                <w:kern w:val="0"/>
                <w:szCs w:val="21"/>
              </w:rPr>
              <w:t>36%</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39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bottom w:val="single" w:color="auto" w:sz="4" w:space="0"/>
              <w:right w:val="single" w:color="auto" w:sz="4" w:space="0"/>
            </w:tcBorders>
            <w:vAlign w:val="center"/>
          </w:tcPr>
          <w:p/>
        </w:tc>
        <w:tc>
          <w:tcPr>
            <w:tcW w:w="843"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时效</w:t>
            </w:r>
          </w:p>
          <w:p>
            <w:pPr>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及时完成率</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≥95%</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jc w:val="center"/>
              <w:rPr>
                <w:rFonts w:ascii="仿宋_GB2312" w:eastAsia="仿宋_GB2312" w:cs="Times New Roman"/>
                <w:color w:val="000000"/>
                <w:kern w:val="0"/>
                <w:szCs w:val="21"/>
              </w:rPr>
            </w:pPr>
            <w:r>
              <w:rPr>
                <w:rFonts w:ascii="仿宋_GB2312" w:eastAsia="仿宋_GB2312" w:cs="Times New Roman"/>
                <w:color w:val="000000"/>
                <w:kern w:val="0"/>
                <w:szCs w:val="21"/>
              </w:rPr>
              <w:t>98.87%</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16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371" w:hRule="atLeast"/>
        </w:trPr>
        <w:tc>
          <w:tcPr>
            <w:tcW w:w="769" w:type="dxa"/>
            <w:vMerge w:val="continue"/>
            <w:tcBorders>
              <w:left w:val="single" w:color="auto" w:sz="4" w:space="0"/>
              <w:right w:val="single" w:color="auto" w:sz="4" w:space="0"/>
            </w:tcBorders>
            <w:vAlign w:val="center"/>
          </w:tcPr>
          <w:p/>
        </w:tc>
        <w:tc>
          <w:tcPr>
            <w:tcW w:w="705" w:type="dxa"/>
            <w:vMerge w:val="restart"/>
            <w:tcBorders>
              <w:top w:val="single" w:color="auto" w:sz="4" w:space="0"/>
              <w:left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p>
          <w:p>
            <w:pPr>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效益指标</w:t>
            </w:r>
          </w:p>
        </w:tc>
        <w:tc>
          <w:tcPr>
            <w:tcW w:w="843" w:type="dxa"/>
            <w:gridSpan w:val="2"/>
            <w:vMerge w:val="restart"/>
            <w:tcBorders>
              <w:top w:val="single" w:color="auto" w:sz="4" w:space="0"/>
              <w:left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社会</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效益</w:t>
            </w:r>
          </w:p>
          <w:p>
            <w:pPr>
              <w:widowControl/>
              <w:adjustRightInd w:val="0"/>
              <w:snapToGrid w:val="0"/>
              <w:spacing w:line="240" w:lineRule="atLeast"/>
              <w:jc w:val="center"/>
              <w:rPr>
                <w:rFonts w:ascii="仿宋_GB2312" w:eastAsia="仿宋_GB2312" w:cs="宋体"/>
                <w:color w:val="000000"/>
                <w:kern w:val="0"/>
                <w:sz w:val="24"/>
                <w:szCs w:val="24"/>
              </w:rPr>
            </w:pPr>
            <w:r>
              <w:rPr>
                <w:rFonts w:hint="eastAsia" w:ascii="黑体" w:eastAsia="黑体" w:cs="宋体"/>
                <w:color w:val="000000"/>
                <w:kern w:val="0"/>
                <w:sz w:val="24"/>
                <w:szCs w:val="24"/>
              </w:rPr>
              <w:t>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中医药健康文化宣传范围</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进一步扩大</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Cs w:val="21"/>
              </w:rPr>
            </w:pPr>
            <w:r>
              <w:rPr>
                <w:rFonts w:hint="eastAsia" w:ascii="仿宋_GB2312" w:eastAsia="仿宋_GB2312" w:cs="Times New Roman"/>
                <w:color w:val="000000"/>
                <w:kern w:val="0"/>
                <w:szCs w:val="21"/>
              </w:rPr>
              <w:t>进一步扩大</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left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中医药医院服务能力提高</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明显提高</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hint="eastAsia" w:ascii="仿宋_GB2312" w:eastAsia="仿宋_GB2312" w:cs="Times New Roman"/>
                <w:color w:val="000000"/>
                <w:kern w:val="0"/>
                <w:szCs w:val="21"/>
              </w:rPr>
              <w:t>明显提高</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中医药人才技术水平</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明显提高</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hint="eastAsia" w:ascii="仿宋_GB2312" w:eastAsia="仿宋_GB2312" w:cs="Times New Roman"/>
                <w:color w:val="000000"/>
                <w:kern w:val="0"/>
                <w:szCs w:val="21"/>
              </w:rPr>
              <w:t>明显提高</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restart"/>
            <w:tcBorders>
              <w:top w:val="single" w:color="auto" w:sz="4" w:space="0"/>
              <w:left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生态效益指标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道地药材种植品种</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提升</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hint="eastAsia" w:ascii="仿宋_GB2312" w:eastAsia="仿宋_GB2312" w:cs="Times New Roman"/>
                <w:color w:val="000000"/>
                <w:kern w:val="0"/>
                <w:szCs w:val="21"/>
              </w:rPr>
              <w:t>提升</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left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中药材生态种植模式</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w:t>
            </w:r>
            <w:r>
              <w:rPr>
                <w:rFonts w:ascii="仿宋_GB2312" w:eastAsia="仿宋_GB2312" w:cs="Times New Roman"/>
                <w:color w:val="000000"/>
                <w:kern w:val="0"/>
                <w:sz w:val="24"/>
                <w:szCs w:val="24"/>
              </w:rPr>
              <w:t>1</w:t>
            </w:r>
            <w:r>
              <w:rPr>
                <w:rFonts w:hint="eastAsia" w:ascii="仿宋_GB2312" w:eastAsia="仿宋_GB2312" w:cs="Times New Roman"/>
                <w:color w:val="000000"/>
                <w:kern w:val="0"/>
                <w:sz w:val="24"/>
                <w:szCs w:val="24"/>
              </w:rPr>
              <w:t>个</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hint="eastAsia" w:ascii="仿宋_GB2312" w:eastAsia="仿宋_GB2312" w:cs="Times New Roman"/>
                <w:color w:val="000000"/>
                <w:kern w:val="0"/>
                <w:szCs w:val="21"/>
              </w:rPr>
              <w:t>1个</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highlight w:val="yellow"/>
              </w:rPr>
            </w:pPr>
          </w:p>
        </w:tc>
      </w:tr>
      <w:tr>
        <w:tblPrEx>
          <w:tblCellMar>
            <w:top w:w="0" w:type="dxa"/>
            <w:left w:w="108" w:type="dxa"/>
            <w:bottom w:w="0" w:type="dxa"/>
            <w:right w:w="108" w:type="dxa"/>
          </w:tblCellMar>
        </w:tblPrEx>
        <w:trPr>
          <w:trHeight w:val="672" w:hRule="atLeast"/>
        </w:trPr>
        <w:tc>
          <w:tcPr>
            <w:tcW w:w="769" w:type="dxa"/>
            <w:vMerge w:val="continue"/>
            <w:tcBorders>
              <w:left w:val="single" w:color="auto" w:sz="4" w:space="0"/>
              <w:right w:val="single" w:color="auto" w:sz="4" w:space="0"/>
            </w:tcBorders>
            <w:textDirection w:val="tbRlV"/>
            <w:vAlign w:val="center"/>
          </w:tcPr>
          <w:p/>
        </w:tc>
        <w:tc>
          <w:tcPr>
            <w:tcW w:w="705" w:type="dxa"/>
            <w:vMerge w:val="continue"/>
            <w:tcBorders>
              <w:left w:val="single" w:color="auto" w:sz="4" w:space="0"/>
              <w:right w:val="single" w:color="auto" w:sz="4" w:space="0"/>
            </w:tcBorders>
            <w:vAlign w:val="center"/>
          </w:tcPr>
          <w:p/>
        </w:tc>
        <w:tc>
          <w:tcPr>
            <w:tcW w:w="843" w:type="dxa"/>
            <w:gridSpan w:val="2"/>
            <w:vMerge w:val="restart"/>
            <w:tcBorders>
              <w:top w:val="single" w:color="auto" w:sz="4" w:space="0"/>
              <w:left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可持续影响指标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中医药文化传播</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长期广泛运用</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长期广泛运用</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left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中药材资源保护意识</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有效提升</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Cs w:val="21"/>
              </w:rPr>
            </w:pPr>
            <w:r>
              <w:rPr>
                <w:rFonts w:hint="eastAsia" w:ascii="仿宋_GB2312" w:eastAsia="仿宋_GB2312" w:cs="Times New Roman"/>
                <w:color w:val="000000"/>
                <w:kern w:val="0"/>
                <w:szCs w:val="21"/>
              </w:rPr>
              <w:t>有效提升</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p>
        </w:tc>
      </w:tr>
      <w:tr>
        <w:tblPrEx>
          <w:tblCellMar>
            <w:top w:w="0" w:type="dxa"/>
            <w:left w:w="108" w:type="dxa"/>
            <w:bottom w:w="0" w:type="dxa"/>
            <w:right w:w="108" w:type="dxa"/>
          </w:tblCellMar>
        </w:tblPrEx>
        <w:trPr>
          <w:trHeight w:val="263"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bottom w:val="single" w:color="auto" w:sz="4" w:space="0"/>
              <w:right w:val="single" w:color="auto" w:sz="4" w:space="0"/>
            </w:tcBorders>
            <w:vAlign w:val="center"/>
          </w:tcPr>
          <w:p/>
        </w:tc>
        <w:tc>
          <w:tcPr>
            <w:tcW w:w="843" w:type="dxa"/>
            <w:gridSpan w:val="2"/>
            <w:vMerge w:val="continue"/>
            <w:tcBorders>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道地药材质量</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持续性提高</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hint="eastAsia" w:ascii="仿宋_GB2312" w:eastAsia="仿宋_GB2312" w:cs="Times New Roman"/>
                <w:color w:val="000000"/>
                <w:kern w:val="0"/>
                <w:szCs w:val="21"/>
              </w:rPr>
              <w:t>持续性提高</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p>
        </w:tc>
      </w:tr>
      <w:tr>
        <w:tblPrEx>
          <w:tblCellMar>
            <w:top w:w="0" w:type="dxa"/>
            <w:left w:w="108" w:type="dxa"/>
            <w:bottom w:w="0" w:type="dxa"/>
            <w:right w:w="108" w:type="dxa"/>
          </w:tblCellMar>
        </w:tblPrEx>
        <w:trPr>
          <w:trHeight w:val="712" w:hRule="atLeast"/>
        </w:trPr>
        <w:tc>
          <w:tcPr>
            <w:tcW w:w="769" w:type="dxa"/>
            <w:vMerge w:val="continue"/>
            <w:tcBorders>
              <w:left w:val="single" w:color="auto" w:sz="4" w:space="0"/>
              <w:right w:val="single" w:color="auto" w:sz="4" w:space="0"/>
            </w:tcBorders>
            <w:vAlign w:val="center"/>
          </w:tcPr>
          <w:p/>
        </w:tc>
        <w:tc>
          <w:tcPr>
            <w:tcW w:w="705" w:type="dxa"/>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满意度指标</w:t>
            </w:r>
          </w:p>
        </w:tc>
        <w:tc>
          <w:tcPr>
            <w:tcW w:w="843"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服务对象</w:t>
            </w:r>
          </w:p>
          <w:p>
            <w:pPr>
              <w:widowControl/>
              <w:adjustRightInd w:val="0"/>
              <w:snapToGrid w:val="0"/>
              <w:spacing w:line="240" w:lineRule="atLeast"/>
              <w:jc w:val="center"/>
              <w:rPr>
                <w:rFonts w:ascii="黑体" w:eastAsia="黑体" w:cs="宋体"/>
                <w:color w:val="000000"/>
                <w:kern w:val="0"/>
                <w:sz w:val="24"/>
                <w:szCs w:val="24"/>
              </w:rPr>
            </w:pPr>
            <w:r>
              <w:rPr>
                <w:rFonts w:hint="eastAsia" w:ascii="黑体" w:eastAsia="黑体" w:cs="宋体"/>
                <w:color w:val="000000"/>
                <w:kern w:val="0"/>
                <w:sz w:val="24"/>
                <w:szCs w:val="24"/>
              </w:rPr>
              <w:t>满意度指标</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r>
              <w:rPr>
                <w:rFonts w:hint="eastAsia" w:ascii="仿宋_GB2312" w:eastAsia="仿宋_GB2312" w:cs="Times New Roman"/>
                <w:color w:val="000000"/>
                <w:kern w:val="0"/>
                <w:szCs w:val="21"/>
              </w:rPr>
              <w:t>服务对象满意度</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宋体"/>
                <w:color w:val="000000"/>
                <w:kern w:val="0"/>
                <w:szCs w:val="21"/>
              </w:rPr>
            </w:pPr>
            <w:r>
              <w:rPr>
                <w:rFonts w:hint="eastAsia" w:ascii="仿宋_GB2312" w:eastAsia="仿宋_GB2312" w:cs="Times New Roman"/>
                <w:color w:val="000000"/>
                <w:kern w:val="0"/>
                <w:szCs w:val="21"/>
              </w:rPr>
              <w:t>≥80%</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Cs w:val="21"/>
              </w:rPr>
            </w:pPr>
            <w:r>
              <w:rPr>
                <w:rFonts w:ascii="仿宋_GB2312" w:eastAsia="仿宋_GB2312" w:cs="宋体"/>
                <w:color w:val="000000"/>
                <w:kern w:val="0"/>
                <w:szCs w:val="21"/>
              </w:rPr>
              <w:t>99.57%</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p>
        </w:tc>
      </w:tr>
      <w:tr>
        <w:tblPrEx>
          <w:tblCellMar>
            <w:top w:w="0" w:type="dxa"/>
            <w:left w:w="108" w:type="dxa"/>
            <w:bottom w:w="0" w:type="dxa"/>
            <w:right w:w="108" w:type="dxa"/>
          </w:tblCellMar>
        </w:tblPrEx>
        <w:trPr>
          <w:trHeight w:val="301" w:hRule="atLeast"/>
        </w:trPr>
        <w:tc>
          <w:tcPr>
            <w:tcW w:w="769" w:type="dxa"/>
            <w:vMerge w:val="continue"/>
            <w:tcBorders>
              <w:left w:val="single" w:color="auto" w:sz="4" w:space="0"/>
              <w:right w:val="single" w:color="auto" w:sz="4" w:space="0"/>
            </w:tcBorders>
            <w:vAlign w:val="center"/>
          </w:tcPr>
          <w:p/>
        </w:tc>
        <w:tc>
          <w:tcPr>
            <w:tcW w:w="705" w:type="dxa"/>
            <w:vMerge w:val="continue"/>
            <w:tcBorders>
              <w:left w:val="single" w:color="auto" w:sz="4" w:space="0"/>
              <w:right w:val="single" w:color="auto" w:sz="4" w:space="0"/>
            </w:tcBorders>
            <w:vAlign w:val="center"/>
          </w:tcPr>
          <w:p/>
        </w:tc>
        <w:tc>
          <w:tcPr>
            <w:tcW w:w="843" w:type="dxa"/>
            <w:gridSpan w:val="2"/>
            <w:vMerge w:val="continue"/>
            <w:tcBorders>
              <w:left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培训教师及受训学员满意度</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≥90%</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宋体"/>
                <w:color w:val="000000"/>
                <w:kern w:val="0"/>
                <w:szCs w:val="21"/>
              </w:rPr>
            </w:pPr>
            <w:r>
              <w:rPr>
                <w:rFonts w:ascii="仿宋_GB2312" w:eastAsia="仿宋_GB2312" w:cs="Times New Roman"/>
                <w:color w:val="000000"/>
                <w:kern w:val="0"/>
                <w:szCs w:val="21"/>
              </w:rPr>
              <w:t>96.32%</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Cs w:val="21"/>
              </w:rPr>
            </w:pPr>
          </w:p>
        </w:tc>
      </w:tr>
      <w:tr>
        <w:tblPrEx>
          <w:tblCellMar>
            <w:top w:w="0" w:type="dxa"/>
            <w:left w:w="108" w:type="dxa"/>
            <w:bottom w:w="0" w:type="dxa"/>
            <w:right w:w="108" w:type="dxa"/>
          </w:tblCellMar>
        </w:tblPrEx>
        <w:trPr>
          <w:trHeight w:val="316" w:hRule="atLeast"/>
        </w:trPr>
        <w:tc>
          <w:tcPr>
            <w:tcW w:w="769" w:type="dxa"/>
            <w:vMerge w:val="continue"/>
            <w:tcBorders>
              <w:left w:val="single" w:color="auto" w:sz="4" w:space="0"/>
              <w:bottom w:val="single" w:color="auto" w:sz="4" w:space="0"/>
              <w:right w:val="single" w:color="auto" w:sz="4" w:space="0"/>
            </w:tcBorders>
            <w:vAlign w:val="center"/>
          </w:tcPr>
          <w:p/>
        </w:tc>
        <w:tc>
          <w:tcPr>
            <w:tcW w:w="705" w:type="dxa"/>
            <w:vMerge w:val="continue"/>
            <w:tcBorders>
              <w:top w:val="single" w:color="auto" w:sz="4" w:space="0"/>
              <w:left w:val="single" w:color="auto" w:sz="4" w:space="0"/>
              <w:bottom w:val="single" w:color="auto" w:sz="4" w:space="0"/>
              <w:right w:val="single" w:color="auto" w:sz="4" w:space="0"/>
            </w:tcBorders>
            <w:vAlign w:val="center"/>
          </w:tcPr>
          <w:p/>
        </w:tc>
        <w:tc>
          <w:tcPr>
            <w:tcW w:w="843" w:type="dxa"/>
            <w:gridSpan w:val="2"/>
            <w:vMerge w:val="continue"/>
            <w:tcBorders>
              <w:top w:val="single" w:color="auto" w:sz="4" w:space="0"/>
              <w:left w:val="single" w:color="auto" w:sz="4" w:space="0"/>
              <w:bottom w:val="single" w:color="auto" w:sz="4" w:space="0"/>
              <w:right w:val="single" w:color="auto" w:sz="4" w:space="0"/>
            </w:tcBorders>
            <w:vAlign w:val="center"/>
          </w:tcPr>
          <w:p/>
        </w:tc>
        <w:tc>
          <w:tcPr>
            <w:tcW w:w="417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Times New Roman"/>
                <w:color w:val="000000"/>
                <w:kern w:val="0"/>
                <w:szCs w:val="21"/>
              </w:rPr>
            </w:pPr>
            <w:r>
              <w:rPr>
                <w:rFonts w:hint="eastAsia" w:ascii="仿宋_GB2312" w:eastAsia="仿宋_GB2312" w:cs="Times New Roman"/>
                <w:color w:val="000000"/>
                <w:kern w:val="0"/>
                <w:szCs w:val="21"/>
              </w:rPr>
              <w:t>民众调查满意度</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left"/>
              <w:rPr>
                <w:rFonts w:ascii="仿宋_GB2312" w:eastAsia="仿宋_GB2312" w:cs="Times New Roman"/>
                <w:color w:val="000000"/>
                <w:kern w:val="0"/>
                <w:szCs w:val="21"/>
              </w:rPr>
            </w:pPr>
            <w:r>
              <w:rPr>
                <w:rFonts w:hint="eastAsia" w:ascii="仿宋_GB2312" w:eastAsia="仿宋_GB2312" w:cs="Times New Roman"/>
                <w:color w:val="000000"/>
                <w:kern w:val="0"/>
                <w:szCs w:val="21"/>
              </w:rPr>
              <w:t>≥90%</w:t>
            </w:r>
          </w:p>
        </w:tc>
        <w:tc>
          <w:tcPr>
            <w:tcW w:w="1276"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jc w:val="center"/>
              <w:rPr>
                <w:rFonts w:ascii="仿宋_GB2312" w:eastAsia="仿宋_GB2312" w:cs="Times New Roman"/>
                <w:color w:val="000000"/>
                <w:kern w:val="0"/>
                <w:szCs w:val="21"/>
              </w:rPr>
            </w:pPr>
            <w:r>
              <w:rPr>
                <w:rFonts w:ascii="仿宋_GB2312" w:eastAsia="仿宋_GB2312" w:cs="Times New Roman"/>
                <w:color w:val="000000"/>
                <w:kern w:val="0"/>
                <w:szCs w:val="21"/>
              </w:rPr>
              <w:t>96.80%</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rPr>
            </w:pPr>
          </w:p>
        </w:tc>
      </w:tr>
      <w:tr>
        <w:tblPrEx>
          <w:tblCellMar>
            <w:top w:w="0" w:type="dxa"/>
            <w:left w:w="108" w:type="dxa"/>
            <w:bottom w:w="0" w:type="dxa"/>
            <w:right w:w="108" w:type="dxa"/>
          </w:tblCellMar>
        </w:tblPrEx>
        <w:trPr>
          <w:trHeight w:val="249" w:hRule="atLeast"/>
        </w:trPr>
        <w:tc>
          <w:tcPr>
            <w:tcW w:w="769" w:type="dxa"/>
            <w:tcBorders>
              <w:top w:val="nil"/>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rPr>
            </w:pPr>
            <w:r>
              <w:rPr>
                <w:rFonts w:hint="eastAsia" w:ascii="黑体" w:eastAsia="黑体" w:cs="宋体"/>
                <w:color w:val="000000"/>
                <w:kern w:val="0"/>
                <w:sz w:val="24"/>
                <w:szCs w:val="24"/>
              </w:rPr>
              <w:t>说明</w:t>
            </w:r>
          </w:p>
        </w:tc>
        <w:tc>
          <w:tcPr>
            <w:tcW w:w="9477" w:type="dxa"/>
            <w:gridSpan w:val="9"/>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atLeast"/>
              <w:rPr>
                <w:rFonts w:ascii="仿宋_GB2312" w:eastAsia="仿宋_GB2312" w:cs="宋体"/>
                <w:color w:val="000000"/>
                <w:kern w:val="0"/>
                <w:sz w:val="24"/>
                <w:szCs w:val="24"/>
              </w:rPr>
            </w:pPr>
            <w:r>
              <w:rPr>
                <w:rFonts w:hint="eastAsia" w:ascii="仿宋_GB2312" w:eastAsia="仿宋_GB2312" w:cs="Times New Roman"/>
                <w:color w:val="000000"/>
                <w:kern w:val="0"/>
                <w:szCs w:val="21"/>
              </w:rPr>
              <w:t>无</w:t>
            </w:r>
          </w:p>
        </w:tc>
      </w:tr>
      <w:tr>
        <w:tblPrEx>
          <w:tblCellMar>
            <w:top w:w="0" w:type="dxa"/>
            <w:left w:w="108" w:type="dxa"/>
            <w:bottom w:w="0" w:type="dxa"/>
            <w:right w:w="108" w:type="dxa"/>
          </w:tblCellMar>
        </w:tblPrEx>
        <w:trPr>
          <w:trHeight w:val="1340" w:hRule="atLeast"/>
        </w:trPr>
        <w:tc>
          <w:tcPr>
            <w:tcW w:w="10246" w:type="dxa"/>
            <w:gridSpan w:val="10"/>
            <w:tcBorders>
              <w:top w:val="nil"/>
              <w:left w:val="nil"/>
              <w:right w:val="nil"/>
            </w:tcBorders>
            <w:vAlign w:val="center"/>
          </w:tcPr>
          <w:p>
            <w:pPr>
              <w:widowControl/>
              <w:adjustRightInd w:val="0"/>
              <w:snapToGrid w:val="0"/>
              <w:spacing w:before="142" w:line="240" w:lineRule="exact"/>
              <w:ind w:firstLine="380" w:firstLineChars="200"/>
              <w:rPr>
                <w:rFonts w:ascii="宋体" w:hAnsi="宋体" w:eastAsia="仿宋" w:cs="宋体"/>
                <w:color w:val="000000"/>
                <w:kern w:val="0"/>
                <w:sz w:val="16"/>
                <w:szCs w:val="18"/>
                <w:highlight w:val="yellow"/>
              </w:rPr>
            </w:pPr>
            <w:r>
              <w:rPr>
                <w:rFonts w:hint="eastAsia" w:ascii="仿宋" w:eastAsia="仿宋" w:cs="仿宋"/>
                <w:spacing w:val="-10"/>
              </w:rPr>
              <w:t>注</w:t>
            </w:r>
            <w:r>
              <w:rPr>
                <w:rFonts w:ascii="仿宋" w:eastAsia="仿宋" w:cs="仿宋"/>
                <w:spacing w:val="-10"/>
              </w:rPr>
              <w:t>:</w:t>
            </w:r>
            <w:r>
              <w:rPr>
                <w:rFonts w:ascii="仿宋" w:eastAsia="仿宋" w:cs="仿宋"/>
                <w:spacing w:val="72"/>
              </w:rPr>
              <w:t xml:space="preserve"> </w:t>
            </w:r>
            <w:r>
              <w:rPr>
                <w:rFonts w:ascii="仿宋" w:eastAsia="仿宋" w:cs="仿宋"/>
                <w:spacing w:val="-10"/>
              </w:rPr>
              <w:t>1.</w:t>
            </w:r>
            <w:r>
              <w:rPr>
                <w:rFonts w:hint="eastAsia" w:ascii="仿宋" w:eastAsia="仿宋" w:cs="仿宋"/>
                <w:spacing w:val="-10"/>
              </w:rPr>
              <w:t>资金使用单位按项目绩效目标填报</w:t>
            </w:r>
            <w:r>
              <w:rPr>
                <w:rFonts w:ascii="仿宋" w:eastAsia="仿宋" w:cs="仿宋"/>
                <w:spacing w:val="-10"/>
              </w:rPr>
              <w:t>,</w:t>
            </w:r>
            <w:r>
              <w:rPr>
                <w:rFonts w:hint="eastAsia" w:ascii="仿宋" w:eastAsia="仿宋" w:cs="仿宋"/>
                <w:spacing w:val="-10"/>
              </w:rPr>
              <w:t>主管部门汇总时按区域绩效目标填报。</w:t>
            </w:r>
          </w:p>
          <w:p>
            <w:pPr>
              <w:widowControl/>
              <w:adjustRightInd w:val="0"/>
              <w:snapToGrid w:val="0"/>
              <w:spacing w:before="30" w:line="240" w:lineRule="exact"/>
              <w:ind w:right="626" w:firstLine="855" w:firstLineChars="450"/>
              <w:rPr>
                <w:rFonts w:ascii="宋体" w:cs="宋体"/>
                <w:color w:val="000000"/>
                <w:kern w:val="0"/>
                <w:sz w:val="16"/>
                <w:szCs w:val="18"/>
                <w:highlight w:val="yellow"/>
              </w:rPr>
            </w:pPr>
            <w:r>
              <w:rPr>
                <w:rFonts w:ascii="仿宋" w:eastAsia="仿宋" w:cs="仿宋"/>
                <w:spacing w:val="-10"/>
              </w:rPr>
              <w:t>2.</w:t>
            </w:r>
            <w:r>
              <w:rPr>
                <w:rFonts w:hint="eastAsia" w:ascii="仿宋" w:eastAsia="仿宋" w:cs="仿宋"/>
                <w:spacing w:val="-10"/>
              </w:rPr>
              <w:t>其他</w:t>
            </w:r>
            <w:r>
              <w:rPr>
                <w:rFonts w:hint="eastAsia" w:ascii="仿宋" w:eastAsia="仿宋" w:cs="仿宋"/>
                <w:spacing w:val="-10"/>
                <w:w w:val="98"/>
              </w:rPr>
              <w:t>资金包括与中央财政资金、地方财政资金共同投入到同一项目的自有资金、社会资金</w:t>
            </w:r>
            <w:r>
              <w:rPr>
                <w:rFonts w:ascii="仿宋" w:eastAsia="仿宋" w:cs="仿宋"/>
                <w:spacing w:val="-10"/>
                <w:w w:val="98"/>
              </w:rPr>
              <w:t>,</w:t>
            </w:r>
            <w:r>
              <w:rPr>
                <w:rFonts w:hint="eastAsia" w:ascii="仿宋" w:eastAsia="仿宋" w:cs="仿宋"/>
                <w:spacing w:val="-16"/>
              </w:rPr>
              <w:t>以及以前年度的结转结余资金等。</w:t>
            </w:r>
          </w:p>
          <w:p>
            <w:pPr>
              <w:adjustRightInd w:val="0"/>
              <w:snapToGrid w:val="0"/>
              <w:spacing w:before="29" w:line="240" w:lineRule="exact"/>
              <w:ind w:right="673" w:firstLine="855" w:firstLineChars="450"/>
              <w:rPr>
                <w:rFonts w:ascii="宋体" w:hAnsi="宋体" w:eastAsia="仿宋" w:cs="宋体"/>
                <w:color w:val="000000"/>
                <w:kern w:val="0"/>
                <w:sz w:val="16"/>
                <w:szCs w:val="18"/>
                <w:highlight w:val="yellow"/>
              </w:rPr>
            </w:pPr>
            <w:r>
              <w:rPr>
                <w:rFonts w:ascii="仿宋" w:eastAsia="仿宋" w:cs="仿宋"/>
                <w:spacing w:val="-10"/>
              </w:rPr>
              <w:t>3.</w:t>
            </w:r>
            <w:r>
              <w:rPr>
                <w:rFonts w:hint="eastAsia" w:ascii="仿宋" w:eastAsia="仿宋" w:cs="仿宋"/>
                <w:spacing w:val="-10"/>
              </w:rPr>
              <w:t>定</w:t>
            </w:r>
            <w:r>
              <w:rPr>
                <w:rFonts w:hint="eastAsia" w:ascii="仿宋" w:eastAsia="仿宋" w:cs="仿宋"/>
                <w:spacing w:val="-7"/>
              </w:rPr>
              <w:t>量指标</w:t>
            </w:r>
            <w:r>
              <w:rPr>
                <w:rFonts w:ascii="仿宋" w:eastAsia="仿宋" w:cs="仿宋"/>
                <w:spacing w:val="-7"/>
              </w:rPr>
              <w:t>.</w:t>
            </w:r>
            <w:r>
              <w:rPr>
                <w:rFonts w:hint="eastAsia" w:ascii="仿宋" w:eastAsia="仿宋" w:cs="仿宋"/>
                <w:spacing w:val="-7"/>
              </w:rPr>
              <w:t>地方各级主管部门对资金使用单位填写的实际完成值汇总时</w:t>
            </w:r>
            <w:r>
              <w:rPr>
                <w:rFonts w:ascii="仿宋" w:eastAsia="仿宋" w:cs="仿宋"/>
                <w:spacing w:val="-7"/>
              </w:rPr>
              <w:t>,</w:t>
            </w:r>
            <w:r>
              <w:rPr>
                <w:rFonts w:hint="eastAsia" w:ascii="仿宋" w:eastAsia="仿宋" w:cs="仿宋"/>
                <w:spacing w:val="-7"/>
              </w:rPr>
              <w:t>绝对值直接累加</w:t>
            </w:r>
            <w:r>
              <w:rPr>
                <w:rFonts w:hint="eastAsia" w:ascii="仿宋" w:eastAsia="仿宋" w:cs="仿宋"/>
                <w:spacing w:val="-6"/>
              </w:rPr>
              <w:t>计算</w:t>
            </w:r>
            <w:r>
              <w:rPr>
                <w:rFonts w:ascii="仿宋" w:eastAsia="仿宋" w:cs="仿宋"/>
                <w:spacing w:val="-6"/>
              </w:rPr>
              <w:t>,</w:t>
            </w:r>
            <w:r>
              <w:rPr>
                <w:rFonts w:hint="eastAsia" w:ascii="仿宋" w:eastAsia="仿宋" w:cs="仿宋"/>
                <w:spacing w:val="-6"/>
              </w:rPr>
              <w:t>相对值按照资金额度加权平均计算。</w:t>
            </w:r>
          </w:p>
        </w:tc>
      </w:tr>
    </w:tbl>
    <w:p>
      <w:pPr>
        <w:widowControl/>
        <w:adjustRightInd w:val="0"/>
        <w:snapToGrid w:val="0"/>
        <w:spacing w:line="560" w:lineRule="exact"/>
      </w:pPr>
    </w:p>
    <w:sectPr>
      <w:footerReference r:id="rId5" w:type="first"/>
      <w:footerReference r:id="rId3" w:type="default"/>
      <w:footerReference r:id="rId4" w:type="even"/>
      <w:pgSz w:w="11907" w:h="16840"/>
      <w:pgMar w:top="1701" w:right="1418" w:bottom="1417" w:left="1701"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B0600000000000000"/>
    <w:charset w:val="86"/>
    <w:family w:val="auto"/>
    <w:pitch w:val="default"/>
    <w:sig w:usb0="30000083" w:usb1="2BDF3C10" w:usb2="00000016" w:usb3="00000000" w:csb0="602E0107"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Arial">
    <w:altName w:val="Times New Roman"/>
    <w:panose1 w:val="020B0604020202020204"/>
    <w:charset w:val="00"/>
    <w:family w:val="swiss"/>
    <w:pitch w:val="default"/>
    <w:sig w:usb0="00000000" w:usb1="00000000" w:usb2="00000009" w:usb3="00000000" w:csb0="000001FF" w:csb1="00000000"/>
  </w:font>
  <w:font w:name="仿宋_GB2312">
    <w:panose1 w:val="02010609030101010101"/>
    <w:charset w:val="86"/>
    <w:family w:val="modern"/>
    <w:pitch w:val="default"/>
    <w:sig w:usb0="00000001" w:usb1="080E0000" w:usb2="00000000" w:usb3="00000000" w:csb0="00040000" w:csb1="00000000"/>
  </w:font>
  <w:font w:name="Verdana">
    <w:altName w:val="Ubuntu"/>
    <w:panose1 w:val="020B0604030504040204"/>
    <w:charset w:val="00"/>
    <w:family w:val="swiss"/>
    <w:pitch w:val="default"/>
    <w:sig w:usb0="00000000" w:usb1="00000000" w:usb2="00000010"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Ubuntu">
    <w:panose1 w:val="020B0604030602030204"/>
    <w:charset w:val="00"/>
    <w:family w:val="auto"/>
    <w:pitch w:val="default"/>
    <w:sig w:usb0="E00002FF" w:usb1="5000205B" w:usb2="00000000" w:usb3="00000000" w:csb0="2000009F" w:csb1="56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firstLine="360"/>
    </w:pPr>
    <w:r>
      <mc:AlternateContent>
        <mc:Choice Requires="wps">
          <w:drawing>
            <wp:anchor distT="0" distB="0" distL="114300" distR="114300" simplePos="0" relativeHeight="251657216" behindDoc="0" locked="0" layoutInCell="1" allowOverlap="1">
              <wp:simplePos x="0" y="0"/>
              <wp:positionH relativeFrom="margin">
                <wp:align>outside</wp:align>
              </wp:positionH>
              <wp:positionV relativeFrom="paragraph">
                <wp:posOffset>0</wp:posOffset>
              </wp:positionV>
              <wp:extent cx="533400" cy="230505"/>
              <wp:effectExtent l="0" t="0" r="0" b="0"/>
              <wp:wrapNone/>
              <wp:docPr id="1" name="文本框 17"/>
              <wp:cNvGraphicFramePr/>
              <a:graphic xmlns:a="http://schemas.openxmlformats.org/drawingml/2006/main">
                <a:graphicData uri="http://schemas.microsoft.com/office/word/2010/wordprocessingShape">
                  <wps:wsp>
                    <wps:cNvSpPr/>
                    <wps:spPr>
                      <a:xfrm>
                        <a:off x="0" y="0"/>
                        <a:ext cx="533400" cy="230251"/>
                      </a:xfrm>
                      <a:prstGeom prst="rect">
                        <a:avLst/>
                      </a:prstGeom>
                      <a:noFill/>
                      <a:ln w="6350" cap="flat" cmpd="sng">
                        <a:noFill/>
                        <a:prstDash val="solid"/>
                        <a:round/>
                      </a:ln>
                    </wps:spPr>
                    <wps:txbx>
                      <w:txbxContent>
                        <w:p>
                          <w:pPr>
                            <w:pStyle w:val="19"/>
                            <w:rPr>
                              <w:rFonts w:ascii="宋体"/>
                              <w:sz w:val="28"/>
                              <w:szCs w:val="28"/>
                            </w:rPr>
                          </w:pPr>
                          <w:r>
                            <w:rPr>
                              <w:rStyle w:val="32"/>
                              <w:rFonts w:hint="eastAsia" w:ascii="宋体"/>
                              <w:sz w:val="28"/>
                              <w:szCs w:val="28"/>
                            </w:rPr>
                            <w:t>—</w:t>
                          </w:r>
                          <w:r>
                            <w:rPr>
                              <w:rStyle w:val="32"/>
                              <w:rFonts w:hint="eastAsia" w:ascii="宋体"/>
                              <w:sz w:val="28"/>
                              <w:szCs w:val="28"/>
                            </w:rPr>
                            <w:fldChar w:fldCharType="begin"/>
                          </w:r>
                          <w:r>
                            <w:rPr>
                              <w:rStyle w:val="32"/>
                              <w:rFonts w:hint="eastAsia" w:ascii="宋体"/>
                              <w:sz w:val="28"/>
                              <w:szCs w:val="28"/>
                            </w:rPr>
                            <w:instrText xml:space="preserve">Page</w:instrText>
                          </w:r>
                          <w:r>
                            <w:rPr>
                              <w:rStyle w:val="32"/>
                              <w:rFonts w:hint="eastAsia" w:ascii="宋体"/>
                              <w:sz w:val="28"/>
                              <w:szCs w:val="28"/>
                            </w:rPr>
                            <w:fldChar w:fldCharType="separate"/>
                          </w:r>
                          <w:r>
                            <w:rPr>
                              <w:rStyle w:val="32"/>
                              <w:rFonts w:ascii="宋体"/>
                              <w:sz w:val="28"/>
                              <w:szCs w:val="28"/>
                            </w:rPr>
                            <w:t>17</w:t>
                          </w:r>
                          <w:r>
                            <w:rPr>
                              <w:rStyle w:val="32"/>
                              <w:rFonts w:hint="eastAsia" w:ascii="宋体"/>
                              <w:sz w:val="28"/>
                              <w:szCs w:val="28"/>
                            </w:rPr>
                            <w:fldChar w:fldCharType="end"/>
                          </w:r>
                          <w:r>
                            <w:rPr>
                              <w:rStyle w:val="32"/>
                              <w:rFonts w:hint="eastAsia" w:ascii="宋体"/>
                              <w:sz w:val="28"/>
                              <w:szCs w:val="28"/>
                            </w:rPr>
                            <w:t>—</w:t>
                          </w:r>
                        </w:p>
                      </w:txbxContent>
                    </wps:txbx>
                    <wps:bodyPr vert="horz" wrap="none" lIns="0" tIns="0" rIns="0" bIns="0" anchor="t" anchorCtr="false">
                      <a:spAutoFit/>
                    </wps:bodyPr>
                  </wps:wsp>
                </a:graphicData>
              </a:graphic>
            </wp:anchor>
          </w:drawing>
        </mc:Choice>
        <mc:Fallback>
          <w:pict>
            <v:rect id="文本框 17" o:spid="_x0000_s1026" o:spt="1" style="position:absolute;left:0pt;margin-top:0pt;height:18.15pt;width:42pt;mso-position-horizontal:outside;mso-position-horizontal-relative:margin;mso-wrap-style:none;z-index:251657216;mso-width-relative:page;mso-height-relative:page;" filled="f" stroked="f" coordsize="21600,21600" o:gfxdata="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WAAAAZHJzL1BLAQIU&#10;ABQAAAAIAIdO4kCkVhf91gAAAAMBAAAPAAAAAAAAAAEAIAAAADgAAABkcnMvZG93bnJldi54bWxQ&#10;SwECFAAUAAAACACHTuJAriy/GOMBAACfAwAADgAAAAAAAAABACAAAAA7AQAAZHJzL2Uyb0RvYy54&#10;bWxQSwUGAAAAAAYABgBZAQAAkAUAAAAA&#10;">
              <v:fill on="f" focussize="0,0"/>
              <v:stroke on="f" weight="0.5pt" joinstyle="round"/>
              <v:imagedata o:title=""/>
              <o:lock v:ext="edit" aspectratio="f"/>
              <v:textbox inset="0mm,0mm,0mm,0mm" style="mso-fit-shape-to-text:t;">
                <w:txbxContent>
                  <w:p>
                    <w:pPr>
                      <w:pStyle w:val="19"/>
                      <w:rPr>
                        <w:rFonts w:ascii="宋体"/>
                        <w:sz w:val="28"/>
                        <w:szCs w:val="28"/>
                      </w:rPr>
                    </w:pPr>
                    <w:r>
                      <w:rPr>
                        <w:rStyle w:val="32"/>
                        <w:rFonts w:hint="eastAsia" w:ascii="宋体"/>
                        <w:sz w:val="28"/>
                        <w:szCs w:val="28"/>
                      </w:rPr>
                      <w:t>—</w:t>
                    </w:r>
                    <w:r>
                      <w:rPr>
                        <w:rStyle w:val="32"/>
                        <w:rFonts w:hint="eastAsia" w:ascii="宋体"/>
                        <w:sz w:val="28"/>
                        <w:szCs w:val="28"/>
                      </w:rPr>
                      <w:fldChar w:fldCharType="begin"/>
                    </w:r>
                    <w:r>
                      <w:rPr>
                        <w:rStyle w:val="32"/>
                        <w:rFonts w:hint="eastAsia" w:ascii="宋体"/>
                        <w:sz w:val="28"/>
                        <w:szCs w:val="28"/>
                      </w:rPr>
                      <w:instrText xml:space="preserve">Page</w:instrText>
                    </w:r>
                    <w:r>
                      <w:rPr>
                        <w:rStyle w:val="32"/>
                        <w:rFonts w:hint="eastAsia" w:ascii="宋体"/>
                        <w:sz w:val="28"/>
                        <w:szCs w:val="28"/>
                      </w:rPr>
                      <w:fldChar w:fldCharType="separate"/>
                    </w:r>
                    <w:r>
                      <w:rPr>
                        <w:rStyle w:val="32"/>
                        <w:rFonts w:ascii="宋体"/>
                        <w:sz w:val="28"/>
                        <w:szCs w:val="28"/>
                      </w:rPr>
                      <w:t>17</w:t>
                    </w:r>
                    <w:r>
                      <w:rPr>
                        <w:rStyle w:val="32"/>
                        <w:rFonts w:hint="eastAsia" w:ascii="宋体"/>
                        <w:sz w:val="28"/>
                        <w:szCs w:val="28"/>
                      </w:rPr>
                      <w:fldChar w:fldCharType="end"/>
                    </w:r>
                    <w:r>
                      <w:rPr>
                        <w:rStyle w:val="32"/>
                        <w:rFonts w:hint="eastAsia" w:ascii="宋体"/>
                        <w:sz w:val="28"/>
                        <w:szCs w:val="28"/>
                      </w:rPr>
                      <w:t>—</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outside" w:y="1"/>
    </w:pPr>
    <w:r>
      <w:rPr>
        <w:rStyle w:val="32"/>
      </w:rPr>
      <w:fldChar w:fldCharType="begin"/>
    </w:r>
    <w:r>
      <w:rPr>
        <w:rStyle w:val="32"/>
      </w:rPr>
      <w:instrText xml:space="preserve">Page</w:instrText>
    </w:r>
    <w:r>
      <w:rPr>
        <w:rStyle w:val="32"/>
      </w:rPr>
      <w:fldChar w:fldCharType="separate"/>
    </w:r>
    <w:r>
      <w:rPr>
        <w:rStyle w:val="32"/>
      </w:rPr>
      <w:t>7</w:t>
    </w:r>
    <w:r>
      <w:rPr>
        <w:rStyle w:val="32"/>
      </w:rPr>
      <w:fldChar w:fldCharType="end"/>
    </w:r>
  </w:p>
  <w:p>
    <w:pPr>
      <w:pStyle w:val="19"/>
      <w:framePr w:wrap="around" w:vAnchor="text" w:hAnchor="margin" w:xAlign="outside" w:y="1"/>
      <w:ind w:right="360" w:firstLine="360"/>
    </w:pPr>
    <w:r>
      <w:rPr>
        <w:rStyle w:val="32"/>
      </w:rPr>
      <w:fldChar w:fldCharType="begin"/>
    </w:r>
    <w:r>
      <w:rPr>
        <w:rStyle w:val="32"/>
      </w:rPr>
      <w:instrText xml:space="preserve">Page</w:instrText>
    </w:r>
    <w:r>
      <w:rPr>
        <w:rStyle w:val="32"/>
      </w:rPr>
      <w:fldChar w:fldCharType="separate"/>
    </w:r>
    <w:r>
      <w:rPr>
        <w:rStyle w:val="32"/>
      </w:rPr>
      <w:t>7</w:t>
    </w:r>
    <w:r>
      <w:rPr>
        <w:rStyle w:val="32"/>
      </w:rPr>
      <w:fldChar w:fldCharType="end"/>
    </w:r>
  </w:p>
  <w:p>
    <w:pPr>
      <w:pStyle w:val="1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444500" cy="230505"/>
              <wp:effectExtent l="0" t="0" r="0" b="0"/>
              <wp:wrapNone/>
              <wp:docPr id="4" name="文本框 18"/>
              <wp:cNvGraphicFramePr/>
              <a:graphic xmlns:a="http://schemas.openxmlformats.org/drawingml/2006/main">
                <a:graphicData uri="http://schemas.microsoft.com/office/word/2010/wordprocessingShape">
                  <wps:wsp>
                    <wps:cNvSpPr/>
                    <wps:spPr>
                      <a:xfrm>
                        <a:off x="0" y="0"/>
                        <a:ext cx="444500" cy="230505"/>
                      </a:xfrm>
                      <a:prstGeom prst="rect">
                        <a:avLst/>
                      </a:prstGeom>
                      <a:noFill/>
                      <a:ln w="6350" cap="flat" cmpd="sng">
                        <a:noFill/>
                        <a:prstDash val="solid"/>
                        <a:round/>
                      </a:ln>
                    </wps:spPr>
                    <wps:txbx>
                      <w:txbxContent>
                        <w:p>
                          <w:pPr>
                            <w:pStyle w:val="19"/>
                            <w:rPr>
                              <w:rFonts w:ascii="宋体" w:cs="宋体"/>
                              <w:sz w:val="28"/>
                              <w:szCs w:val="28"/>
                            </w:rPr>
                          </w:pPr>
                          <w:r>
                            <w:rPr>
                              <w:rFonts w:hint="eastAsia" w:ascii="宋体" w:cs="宋体"/>
                              <w:sz w:val="28"/>
                              <w:szCs w:val="28"/>
                            </w:rPr>
                            <w:t>—</w:t>
                          </w:r>
                          <w:r>
                            <w:rPr>
                              <w:rFonts w:hint="eastAsia" w:ascii="宋体" w:cs="宋体"/>
                              <w:sz w:val="28"/>
                              <w:szCs w:val="28"/>
                            </w:rPr>
                            <w:fldChar w:fldCharType="begin"/>
                          </w:r>
                          <w:r>
                            <w:rPr>
                              <w:rFonts w:hint="eastAsia" w:ascii="宋体" w:cs="宋体"/>
                              <w:sz w:val="28"/>
                              <w:szCs w:val="28"/>
                            </w:rPr>
                            <w:instrText xml:space="preserve"> PAGE  \* MERGEFORMAT </w:instrText>
                          </w:r>
                          <w:r>
                            <w:rPr>
                              <w:rFonts w:hint="eastAsia" w:ascii="宋体" w:cs="宋体"/>
                              <w:sz w:val="28"/>
                              <w:szCs w:val="28"/>
                            </w:rPr>
                            <w:fldChar w:fldCharType="separate"/>
                          </w:r>
                          <w:r>
                            <w:rPr>
                              <w:rFonts w:ascii="宋体" w:cs="宋体"/>
                              <w:sz w:val="28"/>
                              <w:szCs w:val="28"/>
                            </w:rPr>
                            <w:t>1</w:t>
                          </w:r>
                          <w:r>
                            <w:rPr>
                              <w:rFonts w:hint="eastAsia" w:ascii="宋体" w:cs="宋体"/>
                              <w:sz w:val="28"/>
                              <w:szCs w:val="28"/>
                            </w:rPr>
                            <w:fldChar w:fldCharType="end"/>
                          </w:r>
                          <w:r>
                            <w:rPr>
                              <w:rFonts w:hint="eastAsia" w:ascii="宋体" w:cs="宋体"/>
                              <w:sz w:val="28"/>
                              <w:szCs w:val="28"/>
                            </w:rPr>
                            <w:t>—</w:t>
                          </w:r>
                        </w:p>
                      </w:txbxContent>
                    </wps:txbx>
                    <wps:bodyPr vert="horz" wrap="none" lIns="0" tIns="0" rIns="0" bIns="0" anchor="t" anchorCtr="false">
                      <a:spAutoFit/>
                    </wps:bodyPr>
                  </wps:wsp>
                </a:graphicData>
              </a:graphic>
            </wp:anchor>
          </w:drawing>
        </mc:Choice>
        <mc:Fallback>
          <w:pict>
            <v:rect id="文本框 18" o:spid="_x0000_s1026" o:spt="1" style="position:absolute;left:0pt;margin-top:0pt;height:18.15pt;width:35pt;mso-position-horizontal:outside;mso-position-horizontal-relative:margin;mso-wrap-style:none;z-index:251658240;mso-width-relative:page;mso-height-relative:page;" filled="f" stroked="f" coordsize="21600,21600" o:gfxdata="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z256p9YAAAADAQAADwAAAAAAAAABACAAAAA4AAAAZHJzL2Rvd25yZXYueG1s&#10;UEsBAhQAFAAAAAgAh07iQD2z753kAQAAnwMAAA4AAAAAAAAAAQAgAAAAOwEAAGRycy9lMm9Eb2Mu&#10;eG1sUEsFBgAAAAAGAAYAWQEAAJEFAAAAAA==&#10;">
              <v:fill on="f" focussize="0,0"/>
              <v:stroke on="f" weight="0.5pt" joinstyle="round"/>
              <v:imagedata o:title=""/>
              <o:lock v:ext="edit" aspectratio="f"/>
              <v:textbox inset="0mm,0mm,0mm,0mm" style="mso-fit-shape-to-text:t;">
                <w:txbxContent>
                  <w:p>
                    <w:pPr>
                      <w:pStyle w:val="19"/>
                      <w:rPr>
                        <w:rFonts w:ascii="宋体" w:cs="宋体"/>
                        <w:sz w:val="28"/>
                        <w:szCs w:val="28"/>
                      </w:rPr>
                    </w:pPr>
                    <w:r>
                      <w:rPr>
                        <w:rFonts w:hint="eastAsia" w:ascii="宋体" w:cs="宋体"/>
                        <w:sz w:val="28"/>
                        <w:szCs w:val="28"/>
                      </w:rPr>
                      <w:t>—</w:t>
                    </w:r>
                    <w:r>
                      <w:rPr>
                        <w:rFonts w:hint="eastAsia" w:ascii="宋体" w:cs="宋体"/>
                        <w:sz w:val="28"/>
                        <w:szCs w:val="28"/>
                      </w:rPr>
                      <w:fldChar w:fldCharType="begin"/>
                    </w:r>
                    <w:r>
                      <w:rPr>
                        <w:rFonts w:hint="eastAsia" w:ascii="宋体" w:cs="宋体"/>
                        <w:sz w:val="28"/>
                        <w:szCs w:val="28"/>
                      </w:rPr>
                      <w:instrText xml:space="preserve"> PAGE  \* MERGEFORMAT </w:instrText>
                    </w:r>
                    <w:r>
                      <w:rPr>
                        <w:rFonts w:hint="eastAsia" w:ascii="宋体" w:cs="宋体"/>
                        <w:sz w:val="28"/>
                        <w:szCs w:val="28"/>
                      </w:rPr>
                      <w:fldChar w:fldCharType="separate"/>
                    </w:r>
                    <w:r>
                      <w:rPr>
                        <w:rFonts w:ascii="宋体" w:cs="宋体"/>
                        <w:sz w:val="28"/>
                        <w:szCs w:val="28"/>
                      </w:rPr>
                      <w:t>1</w:t>
                    </w:r>
                    <w:r>
                      <w:rPr>
                        <w:rFonts w:hint="eastAsia" w:ascii="宋体" w:cs="宋体"/>
                        <w:sz w:val="28"/>
                        <w:szCs w:val="28"/>
                      </w:rPr>
                      <w:fldChar w:fldCharType="end"/>
                    </w:r>
                    <w:r>
                      <w:rPr>
                        <w:rFonts w:hint="eastAsia" w:ascii="宋体" w:cs="宋体"/>
                        <w:sz w:val="28"/>
                        <w:szCs w:val="28"/>
                      </w:rPr>
                      <w:t>—</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growAutofit/>
    <w:useFELayout/>
    <w:compatSetting w:name="compatibilityMode" w:uri="http://schemas.microsoft.com/office/word" w:val="14"/>
  </w:compat>
  <w:rsids>
    <w:rsidRoot w:val="00931943"/>
    <w:rsid w:val="00007BC4"/>
    <w:rsid w:val="00017713"/>
    <w:rsid w:val="000303B4"/>
    <w:rsid w:val="001C0824"/>
    <w:rsid w:val="0023774C"/>
    <w:rsid w:val="002D4096"/>
    <w:rsid w:val="003B4EFA"/>
    <w:rsid w:val="003C73DA"/>
    <w:rsid w:val="0051145A"/>
    <w:rsid w:val="005644FD"/>
    <w:rsid w:val="006A3AED"/>
    <w:rsid w:val="007739E8"/>
    <w:rsid w:val="007B20C9"/>
    <w:rsid w:val="00837853"/>
    <w:rsid w:val="00847DD0"/>
    <w:rsid w:val="00885D16"/>
    <w:rsid w:val="00931943"/>
    <w:rsid w:val="00A21DD0"/>
    <w:rsid w:val="00A367A2"/>
    <w:rsid w:val="00AB76C9"/>
    <w:rsid w:val="00B020A2"/>
    <w:rsid w:val="00B4295A"/>
    <w:rsid w:val="00CE7BDB"/>
    <w:rsid w:val="00CF3990"/>
    <w:rsid w:val="00D4207A"/>
    <w:rsid w:val="00E12461"/>
    <w:rsid w:val="00E30CD1"/>
    <w:rsid w:val="00F06DFE"/>
    <w:rsid w:val="32C874FA"/>
    <w:rsid w:val="44204AF2"/>
    <w:rsid w:val="4FB9457B"/>
    <w:rsid w:val="6AFE60D5"/>
    <w:rsid w:val="6BEF6A55"/>
    <w:rsid w:val="7FFF44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iPriority="99" w:name="Normal Indent"/>
    <w:lsdException w:qFormat="1" w:unhideWhenUsed="0" w:uiPriority="0" w:semiHidden="0"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2"/>
      <w:lang w:val="en-US" w:eastAsia="zh-CN" w:bidi="ar-SA"/>
    </w:rPr>
  </w:style>
  <w:style w:type="paragraph" w:styleId="5">
    <w:name w:val="heading 1"/>
    <w:next w:val="1"/>
    <w:qFormat/>
    <w:uiPriority w:val="0"/>
    <w:pPr>
      <w:jc w:val="both"/>
      <w:outlineLvl w:val="0"/>
    </w:pPr>
    <w:rPr>
      <w:rFonts w:ascii="Times New Roman" w:hAnsi="Times New Roman" w:eastAsia="Times New Roman" w:cs="Arial"/>
      <w:sz w:val="28"/>
      <w:szCs w:val="28"/>
      <w:lang w:val="en-US" w:eastAsia="zh-CN" w:bidi="ar-SA"/>
    </w:rPr>
  </w:style>
  <w:style w:type="paragraph" w:styleId="6">
    <w:name w:val="heading 2"/>
    <w:next w:val="1"/>
    <w:qFormat/>
    <w:uiPriority w:val="0"/>
    <w:pPr>
      <w:jc w:val="both"/>
      <w:outlineLvl w:val="1"/>
    </w:pPr>
    <w:rPr>
      <w:rFonts w:ascii="Times New Roman" w:hAnsi="Times New Roman" w:eastAsia="Times New Roman" w:cs="Arial"/>
      <w:sz w:val="21"/>
      <w:szCs w:val="21"/>
      <w:lang w:val="en-US" w:eastAsia="zh-CN" w:bidi="ar-SA"/>
    </w:rPr>
  </w:style>
  <w:style w:type="paragraph" w:styleId="7">
    <w:name w:val="heading 3"/>
    <w:next w:val="1"/>
    <w:qFormat/>
    <w:uiPriority w:val="0"/>
    <w:pPr>
      <w:ind w:left="1000" w:hanging="400"/>
      <w:jc w:val="both"/>
      <w:outlineLvl w:val="2"/>
    </w:pPr>
    <w:rPr>
      <w:rFonts w:ascii="Times New Roman" w:hAnsi="Times New Roman" w:eastAsia="Times New Roman" w:cs="Arial"/>
      <w:sz w:val="21"/>
      <w:szCs w:val="21"/>
      <w:lang w:val="en-US" w:eastAsia="zh-CN" w:bidi="ar-SA"/>
    </w:rPr>
  </w:style>
  <w:style w:type="paragraph" w:styleId="8">
    <w:name w:val="heading 4"/>
    <w:next w:val="1"/>
    <w:qFormat/>
    <w:uiPriority w:val="0"/>
    <w:pPr>
      <w:ind w:left="1200" w:hanging="400"/>
      <w:jc w:val="both"/>
      <w:outlineLvl w:val="3"/>
    </w:pPr>
    <w:rPr>
      <w:rFonts w:ascii="Times New Roman" w:hAnsi="Times New Roman" w:eastAsia="Times New Roman" w:cs="Arial"/>
      <w:b/>
      <w:sz w:val="21"/>
      <w:szCs w:val="21"/>
      <w:lang w:val="en-US" w:eastAsia="zh-CN" w:bidi="ar-SA"/>
    </w:rPr>
  </w:style>
  <w:style w:type="paragraph" w:styleId="9">
    <w:name w:val="heading 5"/>
    <w:next w:val="1"/>
    <w:qFormat/>
    <w:uiPriority w:val="0"/>
    <w:pPr>
      <w:ind w:left="1400" w:hanging="400"/>
      <w:jc w:val="both"/>
      <w:outlineLvl w:val="4"/>
    </w:pPr>
    <w:rPr>
      <w:rFonts w:ascii="Times New Roman" w:hAnsi="Times New Roman" w:eastAsia="Times New Roman" w:cs="Arial"/>
      <w:sz w:val="21"/>
      <w:szCs w:val="21"/>
      <w:lang w:val="en-US" w:eastAsia="zh-CN" w:bidi="ar-SA"/>
    </w:rPr>
  </w:style>
  <w:style w:type="paragraph" w:styleId="10">
    <w:name w:val="heading 6"/>
    <w:next w:val="1"/>
    <w:qFormat/>
    <w:uiPriority w:val="0"/>
    <w:pPr>
      <w:ind w:left="1600" w:hanging="400"/>
      <w:jc w:val="both"/>
      <w:outlineLvl w:val="5"/>
    </w:pPr>
    <w:rPr>
      <w:rFonts w:ascii="Times New Roman" w:hAnsi="Times New Roman" w:eastAsia="Times New Roman" w:cs="Arial"/>
      <w:b/>
      <w:sz w:val="21"/>
      <w:szCs w:val="21"/>
      <w:lang w:val="en-US" w:eastAsia="zh-CN" w:bidi="ar-SA"/>
    </w:rPr>
  </w:style>
  <w:style w:type="paragraph" w:styleId="11">
    <w:name w:val="heading 7"/>
    <w:next w:val="1"/>
    <w:qFormat/>
    <w:uiPriority w:val="0"/>
    <w:pPr>
      <w:ind w:left="1800" w:hanging="400"/>
      <w:jc w:val="both"/>
      <w:outlineLvl w:val="6"/>
    </w:pPr>
    <w:rPr>
      <w:rFonts w:ascii="Times New Roman" w:hAnsi="Times New Roman" w:eastAsia="Times New Roman" w:cs="Arial"/>
      <w:sz w:val="21"/>
      <w:szCs w:val="21"/>
      <w:lang w:val="en-US" w:eastAsia="zh-CN" w:bidi="ar-SA"/>
    </w:rPr>
  </w:style>
  <w:style w:type="paragraph" w:styleId="12">
    <w:name w:val="heading 8"/>
    <w:next w:val="1"/>
    <w:qFormat/>
    <w:uiPriority w:val="0"/>
    <w:pPr>
      <w:ind w:left="2000" w:hanging="400"/>
      <w:jc w:val="both"/>
      <w:outlineLvl w:val="7"/>
    </w:pPr>
    <w:rPr>
      <w:rFonts w:ascii="Times New Roman" w:hAnsi="Times New Roman" w:eastAsia="Times New Roman" w:cs="Arial"/>
      <w:sz w:val="21"/>
      <w:szCs w:val="21"/>
      <w:lang w:val="en-US" w:eastAsia="zh-CN" w:bidi="ar-SA"/>
    </w:rPr>
  </w:style>
  <w:style w:type="paragraph" w:styleId="13">
    <w:name w:val="heading 9"/>
    <w:next w:val="1"/>
    <w:qFormat/>
    <w:uiPriority w:val="0"/>
    <w:pPr>
      <w:ind w:left="2200" w:hanging="400"/>
      <w:jc w:val="both"/>
      <w:outlineLvl w:val="8"/>
    </w:pPr>
    <w:rPr>
      <w:rFonts w:ascii="Times New Roman" w:hAnsi="Times New Roman" w:eastAsia="Times New Roman" w:cs="Arial"/>
      <w:sz w:val="21"/>
      <w:szCs w:val="21"/>
      <w:lang w:val="en-US" w:eastAsia="zh-CN" w:bidi="ar-SA"/>
    </w:rPr>
  </w:style>
  <w:style w:type="character" w:default="1" w:styleId="30">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footnote text"/>
    <w:basedOn w:val="1"/>
    <w:next w:val="3"/>
    <w:qFormat/>
    <w:uiPriority w:val="0"/>
    <w:pPr>
      <w:snapToGrid w:val="0"/>
      <w:jc w:val="left"/>
    </w:pPr>
    <w:rPr>
      <w:sz w:val="18"/>
      <w:szCs w:val="18"/>
    </w:rPr>
  </w:style>
  <w:style w:type="paragraph" w:styleId="3">
    <w:name w:val="Body Text First Indent 2"/>
    <w:basedOn w:val="4"/>
    <w:next w:val="1"/>
    <w:qFormat/>
    <w:uiPriority w:val="0"/>
    <w:pPr>
      <w:ind w:firstLine="200" w:firstLineChars="200"/>
    </w:pPr>
  </w:style>
  <w:style w:type="paragraph" w:styleId="4">
    <w:name w:val="Body Text Indent"/>
    <w:basedOn w:val="1"/>
    <w:qFormat/>
    <w:uiPriority w:val="0"/>
    <w:pPr>
      <w:ind w:firstLine="540"/>
    </w:pPr>
    <w:rPr>
      <w:sz w:val="30"/>
    </w:rPr>
  </w:style>
  <w:style w:type="paragraph" w:styleId="14">
    <w:name w:val="toc 7"/>
    <w:next w:val="1"/>
    <w:qFormat/>
    <w:uiPriority w:val="0"/>
    <w:pPr>
      <w:ind w:left="2550"/>
      <w:jc w:val="both"/>
    </w:pPr>
    <w:rPr>
      <w:rFonts w:ascii="Times New Roman" w:hAnsi="Times New Roman" w:eastAsia="Times New Roman" w:cs="Arial"/>
      <w:sz w:val="21"/>
      <w:szCs w:val="21"/>
      <w:lang w:val="en-US" w:eastAsia="zh-CN" w:bidi="ar-SA"/>
    </w:rPr>
  </w:style>
  <w:style w:type="paragraph" w:styleId="15">
    <w:name w:val="toc 5"/>
    <w:next w:val="1"/>
    <w:qFormat/>
    <w:uiPriority w:val="0"/>
    <w:pPr>
      <w:ind w:left="1700"/>
      <w:jc w:val="both"/>
    </w:pPr>
    <w:rPr>
      <w:rFonts w:ascii="Times New Roman" w:hAnsi="Times New Roman" w:eastAsia="Times New Roman" w:cs="Arial"/>
      <w:sz w:val="21"/>
      <w:szCs w:val="21"/>
      <w:lang w:val="en-US" w:eastAsia="zh-CN" w:bidi="ar-SA"/>
    </w:rPr>
  </w:style>
  <w:style w:type="paragraph" w:styleId="16">
    <w:name w:val="toc 3"/>
    <w:next w:val="1"/>
    <w:qFormat/>
    <w:uiPriority w:val="0"/>
    <w:pPr>
      <w:ind w:left="850"/>
      <w:jc w:val="both"/>
    </w:pPr>
    <w:rPr>
      <w:rFonts w:ascii="Times New Roman" w:hAnsi="Times New Roman" w:eastAsia="Times New Roman" w:cs="Arial"/>
      <w:sz w:val="21"/>
      <w:szCs w:val="21"/>
      <w:lang w:val="en-US" w:eastAsia="zh-CN" w:bidi="ar-SA"/>
    </w:rPr>
  </w:style>
  <w:style w:type="paragraph" w:styleId="17">
    <w:name w:val="toc 8"/>
    <w:next w:val="1"/>
    <w:qFormat/>
    <w:uiPriority w:val="0"/>
    <w:pPr>
      <w:ind w:left="2975"/>
      <w:jc w:val="both"/>
    </w:pPr>
    <w:rPr>
      <w:rFonts w:ascii="Times New Roman" w:hAnsi="Times New Roman" w:eastAsia="Times New Roman" w:cs="Arial"/>
      <w:sz w:val="21"/>
      <w:szCs w:val="21"/>
      <w:lang w:val="en-US" w:eastAsia="zh-CN" w:bidi="ar-SA"/>
    </w:rPr>
  </w:style>
  <w:style w:type="paragraph" w:styleId="18">
    <w:name w:val="Balloon Text"/>
    <w:basedOn w:val="1"/>
    <w:qFormat/>
    <w:uiPriority w:val="0"/>
    <w:pPr>
      <w:widowControl/>
    </w:pPr>
    <w:rPr>
      <w:kern w:val="0"/>
      <w:sz w:val="18"/>
      <w:szCs w:val="18"/>
    </w:rPr>
  </w:style>
  <w:style w:type="paragraph" w:styleId="19">
    <w:name w:val="footer"/>
    <w:basedOn w:val="1"/>
    <w:qFormat/>
    <w:uiPriority w:val="0"/>
    <w:pPr>
      <w:tabs>
        <w:tab w:val="center" w:pos="4153"/>
        <w:tab w:val="right" w:pos="8306"/>
      </w:tabs>
      <w:snapToGrid w:val="0"/>
      <w:jc w:val="left"/>
    </w:pPr>
    <w:rPr>
      <w:sz w:val="18"/>
      <w:szCs w:val="18"/>
    </w:rPr>
  </w:style>
  <w:style w:type="paragraph" w:styleId="2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1">
    <w:name w:val="toc 1"/>
    <w:next w:val="1"/>
    <w:qFormat/>
    <w:uiPriority w:val="0"/>
    <w:pPr>
      <w:jc w:val="both"/>
    </w:pPr>
    <w:rPr>
      <w:rFonts w:ascii="Times New Roman" w:hAnsi="Times New Roman" w:eastAsia="Times New Roman" w:cs="Arial"/>
      <w:sz w:val="21"/>
      <w:szCs w:val="21"/>
      <w:lang w:val="en-US" w:eastAsia="zh-CN" w:bidi="ar-SA"/>
    </w:rPr>
  </w:style>
  <w:style w:type="paragraph" w:styleId="22">
    <w:name w:val="toc 4"/>
    <w:next w:val="1"/>
    <w:qFormat/>
    <w:uiPriority w:val="0"/>
    <w:pPr>
      <w:ind w:left="1275"/>
      <w:jc w:val="both"/>
    </w:pPr>
    <w:rPr>
      <w:rFonts w:ascii="Times New Roman" w:hAnsi="Times New Roman" w:eastAsia="Times New Roman" w:cs="Arial"/>
      <w:sz w:val="21"/>
      <w:szCs w:val="21"/>
      <w:lang w:val="en-US" w:eastAsia="zh-CN" w:bidi="ar-SA"/>
    </w:rPr>
  </w:style>
  <w:style w:type="paragraph" w:styleId="23">
    <w:name w:val="Subtitle"/>
    <w:qFormat/>
    <w:uiPriority w:val="0"/>
    <w:pPr>
      <w:jc w:val="center"/>
    </w:pPr>
    <w:rPr>
      <w:rFonts w:ascii="Times New Roman" w:hAnsi="Times New Roman" w:eastAsia="Times New Roman" w:cs="Arial"/>
      <w:sz w:val="24"/>
      <w:szCs w:val="24"/>
      <w:lang w:val="en-US" w:eastAsia="zh-CN" w:bidi="ar-SA"/>
    </w:rPr>
  </w:style>
  <w:style w:type="paragraph" w:styleId="24">
    <w:name w:val="toc 6"/>
    <w:next w:val="1"/>
    <w:qFormat/>
    <w:uiPriority w:val="0"/>
    <w:pPr>
      <w:ind w:left="2125"/>
      <w:jc w:val="both"/>
    </w:pPr>
    <w:rPr>
      <w:rFonts w:ascii="Times New Roman" w:hAnsi="Times New Roman" w:eastAsia="Times New Roman" w:cs="Arial"/>
      <w:sz w:val="21"/>
      <w:szCs w:val="21"/>
      <w:lang w:val="en-US" w:eastAsia="zh-CN" w:bidi="ar-SA"/>
    </w:rPr>
  </w:style>
  <w:style w:type="paragraph" w:styleId="25">
    <w:name w:val="toc 2"/>
    <w:next w:val="1"/>
    <w:qFormat/>
    <w:uiPriority w:val="0"/>
    <w:pPr>
      <w:ind w:left="425"/>
      <w:jc w:val="both"/>
    </w:pPr>
    <w:rPr>
      <w:rFonts w:ascii="Times New Roman" w:hAnsi="Times New Roman" w:eastAsia="Times New Roman" w:cs="Arial"/>
      <w:sz w:val="21"/>
      <w:szCs w:val="21"/>
      <w:lang w:val="en-US" w:eastAsia="zh-CN" w:bidi="ar-SA"/>
    </w:rPr>
  </w:style>
  <w:style w:type="paragraph" w:styleId="26">
    <w:name w:val="toc 9"/>
    <w:next w:val="1"/>
    <w:qFormat/>
    <w:uiPriority w:val="0"/>
    <w:pPr>
      <w:ind w:left="3400"/>
      <w:jc w:val="both"/>
    </w:pPr>
    <w:rPr>
      <w:rFonts w:ascii="Times New Roman" w:hAnsi="Times New Roman" w:eastAsia="Times New Roman" w:cs="Arial"/>
      <w:sz w:val="21"/>
      <w:szCs w:val="21"/>
      <w:lang w:val="en-US" w:eastAsia="zh-CN" w:bidi="ar-SA"/>
    </w:rPr>
  </w:style>
  <w:style w:type="paragraph" w:styleId="27">
    <w:name w:val="Normal (Web)"/>
    <w:basedOn w:val="1"/>
    <w:qFormat/>
    <w:uiPriority w:val="0"/>
    <w:pPr>
      <w:spacing w:beforeAutospacing="1" w:afterAutospacing="1"/>
      <w:jc w:val="left"/>
    </w:pPr>
    <w:rPr>
      <w:rFonts w:cs="Times New Roman"/>
      <w:kern w:val="0"/>
      <w:sz w:val="24"/>
      <w:szCs w:val="21"/>
    </w:rPr>
  </w:style>
  <w:style w:type="paragraph" w:styleId="28">
    <w:name w:val="Title"/>
    <w:qFormat/>
    <w:uiPriority w:val="0"/>
    <w:pPr>
      <w:jc w:val="center"/>
    </w:pPr>
    <w:rPr>
      <w:rFonts w:ascii="Times New Roman" w:hAnsi="Times New Roman" w:eastAsia="Times New Roman" w:cs="Arial"/>
      <w:b/>
      <w:sz w:val="32"/>
      <w:szCs w:val="32"/>
      <w:lang w:val="en-US" w:eastAsia="zh-CN" w:bidi="ar-SA"/>
    </w:rPr>
  </w:style>
  <w:style w:type="character" w:styleId="31">
    <w:name w:val="Strong"/>
    <w:qFormat/>
    <w:uiPriority w:val="0"/>
    <w:rPr>
      <w:b/>
      <w:w w:val="100"/>
      <w:sz w:val="21"/>
      <w:szCs w:val="21"/>
      <w:shd w:val="clear" w:color="auto" w:fill="auto"/>
    </w:rPr>
  </w:style>
  <w:style w:type="character" w:styleId="32">
    <w:name w:val="page number"/>
    <w:basedOn w:val="30"/>
    <w:qFormat/>
    <w:uiPriority w:val="0"/>
  </w:style>
  <w:style w:type="character" w:styleId="33">
    <w:name w:val="Emphasis"/>
    <w:qFormat/>
    <w:uiPriority w:val="0"/>
    <w:rPr>
      <w:i/>
      <w:w w:val="100"/>
      <w:sz w:val="21"/>
      <w:szCs w:val="21"/>
      <w:shd w:val="clear" w:color="auto" w:fill="auto"/>
    </w:rPr>
  </w:style>
  <w:style w:type="paragraph" w:customStyle="1" w:styleId="34">
    <w:name w:val="无间隔1"/>
    <w:qFormat/>
    <w:uiPriority w:val="0"/>
    <w:pPr>
      <w:jc w:val="both"/>
    </w:pPr>
    <w:rPr>
      <w:rFonts w:ascii="Times New Roman" w:hAnsi="Times New Roman" w:eastAsia="Times New Roman" w:cs="Arial"/>
      <w:sz w:val="21"/>
      <w:szCs w:val="21"/>
      <w:lang w:val="en-US" w:eastAsia="zh-CN" w:bidi="ar-SA"/>
    </w:rPr>
  </w:style>
  <w:style w:type="character" w:customStyle="1" w:styleId="35">
    <w:name w:val="不明显强调1"/>
    <w:qFormat/>
    <w:uiPriority w:val="0"/>
    <w:rPr>
      <w:i/>
      <w:color w:val="404040"/>
      <w:w w:val="100"/>
      <w:sz w:val="21"/>
      <w:szCs w:val="21"/>
      <w:shd w:val="clear" w:color="auto" w:fill="auto"/>
    </w:rPr>
  </w:style>
  <w:style w:type="character" w:customStyle="1" w:styleId="36">
    <w:name w:val="明显强调1"/>
    <w:qFormat/>
    <w:uiPriority w:val="0"/>
    <w:rPr>
      <w:i/>
      <w:color w:val="5B9BD5"/>
      <w:w w:val="100"/>
      <w:sz w:val="21"/>
      <w:szCs w:val="21"/>
      <w:shd w:val="clear" w:color="auto" w:fill="auto"/>
    </w:rPr>
  </w:style>
  <w:style w:type="paragraph" w:customStyle="1" w:styleId="37">
    <w:name w:val="引用1"/>
    <w:qFormat/>
    <w:uiPriority w:val="0"/>
    <w:pPr>
      <w:ind w:left="864" w:right="864"/>
      <w:jc w:val="center"/>
    </w:pPr>
    <w:rPr>
      <w:rFonts w:ascii="Times New Roman" w:hAnsi="Times New Roman" w:eastAsia="Times New Roman" w:cs="Arial"/>
      <w:i/>
      <w:color w:val="404040"/>
      <w:sz w:val="21"/>
      <w:szCs w:val="21"/>
      <w:lang w:val="en-US" w:eastAsia="zh-CN" w:bidi="ar-SA"/>
    </w:rPr>
  </w:style>
  <w:style w:type="paragraph" w:customStyle="1" w:styleId="38">
    <w:name w:val="明显引用1"/>
    <w:qFormat/>
    <w:uiPriority w:val="0"/>
    <w:pPr>
      <w:ind w:left="950" w:right="950"/>
      <w:jc w:val="center"/>
    </w:pPr>
    <w:rPr>
      <w:rFonts w:ascii="Times New Roman" w:hAnsi="Times New Roman" w:eastAsia="Times New Roman" w:cs="Arial"/>
      <w:i/>
      <w:color w:val="5B9BD5"/>
      <w:sz w:val="21"/>
      <w:szCs w:val="21"/>
      <w:lang w:val="en-US" w:eastAsia="zh-CN" w:bidi="ar-SA"/>
    </w:rPr>
  </w:style>
  <w:style w:type="character" w:customStyle="1" w:styleId="39">
    <w:name w:val="不明显参考1"/>
    <w:qFormat/>
    <w:uiPriority w:val="0"/>
    <w:rPr>
      <w:smallCaps/>
      <w:color w:val="5A5A5A"/>
      <w:w w:val="100"/>
      <w:sz w:val="21"/>
      <w:szCs w:val="21"/>
      <w:shd w:val="clear" w:color="auto" w:fill="auto"/>
    </w:rPr>
  </w:style>
  <w:style w:type="character" w:customStyle="1" w:styleId="40">
    <w:name w:val="明显参考1"/>
    <w:qFormat/>
    <w:uiPriority w:val="0"/>
    <w:rPr>
      <w:b/>
      <w:smallCaps/>
      <w:color w:val="5B9BD5"/>
      <w:w w:val="100"/>
      <w:sz w:val="21"/>
      <w:szCs w:val="21"/>
      <w:shd w:val="clear" w:color="auto" w:fill="auto"/>
    </w:rPr>
  </w:style>
  <w:style w:type="character" w:customStyle="1" w:styleId="41">
    <w:name w:val="书籍标题1"/>
    <w:qFormat/>
    <w:uiPriority w:val="0"/>
    <w:rPr>
      <w:b/>
      <w:i/>
      <w:w w:val="100"/>
      <w:sz w:val="21"/>
      <w:szCs w:val="21"/>
      <w:shd w:val="clear" w:color="auto" w:fill="auto"/>
    </w:rPr>
  </w:style>
  <w:style w:type="paragraph" w:customStyle="1" w:styleId="42">
    <w:name w:val="列出段落1"/>
    <w:qFormat/>
    <w:uiPriority w:val="0"/>
    <w:pPr>
      <w:ind w:left="850"/>
      <w:jc w:val="both"/>
    </w:pPr>
    <w:rPr>
      <w:rFonts w:ascii="Times New Roman" w:hAnsi="Times New Roman" w:eastAsia="Times New Roman" w:cs="Arial"/>
      <w:sz w:val="21"/>
      <w:szCs w:val="21"/>
      <w:lang w:val="en-US" w:eastAsia="zh-CN" w:bidi="ar-SA"/>
    </w:rPr>
  </w:style>
  <w:style w:type="paragraph" w:customStyle="1" w:styleId="43">
    <w:name w:val="TOC 标题1"/>
    <w:qFormat/>
    <w:uiPriority w:val="0"/>
    <w:rPr>
      <w:rFonts w:ascii="Times New Roman" w:hAnsi="Times New Roman" w:eastAsia="Times New Roman" w:cs="Arial"/>
      <w:color w:val="2E74B5"/>
      <w:sz w:val="32"/>
      <w:szCs w:val="32"/>
      <w:lang w:val="en-US" w:eastAsia="zh-CN" w:bidi="ar-SA"/>
    </w:rPr>
  </w:style>
  <w:style w:type="paragraph" w:customStyle="1" w:styleId="44">
    <w:name w:val="列出段落2"/>
    <w:basedOn w:val="1"/>
    <w:qFormat/>
    <w:uiPriority w:val="0"/>
    <w:pPr>
      <w:widowControl/>
      <w:ind w:firstLine="200" w:firstLineChars="200"/>
    </w:pPr>
    <w:rPr>
      <w:kern w:val="0"/>
      <w:szCs w:val="21"/>
    </w:rPr>
  </w:style>
  <w:style w:type="paragraph" w:customStyle="1" w:styleId="45">
    <w:name w:val="列出段落3"/>
    <w:basedOn w:val="1"/>
    <w:qFormat/>
    <w:uiPriority w:val="0"/>
    <w:pPr>
      <w:widowControl/>
      <w:ind w:firstLine="200" w:firstLineChars="200"/>
    </w:pPr>
    <w:rPr>
      <w:kern w:val="0"/>
      <w:szCs w:val="21"/>
    </w:rPr>
  </w:style>
  <w:style w:type="paragraph" w:customStyle="1" w:styleId="4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
    <w:name w:val="Char Char Char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48">
    <w:name w:val="列出段落4"/>
    <w:basedOn w:val="1"/>
    <w:qFormat/>
    <w:uiPriority w:val="0"/>
    <w:pPr>
      <w:ind w:firstLine="200" w:firstLineChars="200"/>
    </w:pPr>
  </w:style>
  <w:style w:type="paragraph" w:customStyle="1" w:styleId="49">
    <w:name w:val="Body text|1"/>
    <w:basedOn w:val="1"/>
    <w:qFormat/>
    <w:uiPriority w:val="0"/>
    <w:pPr>
      <w:spacing w:line="389" w:lineRule="auto"/>
      <w:ind w:firstLine="400"/>
    </w:pPr>
    <w:rPr>
      <w:rFonts w:ascii="宋体" w:cs="宋体"/>
      <w:sz w:val="30"/>
      <w:szCs w:val="3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18</Pages>
  <Words>1837</Words>
  <Characters>10471</Characters>
  <Lines>87</Lines>
  <Paragraphs>24</Paragraphs>
  <TotalTime>52</TotalTime>
  <ScaleCrop>false</ScaleCrop>
  <LinksUpToDate>false</LinksUpToDate>
  <CharactersWithSpaces>12284</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2022-04-01T19:27:00Z</dcterms:created>
  <dc:creator>gxws</dc:creator>
  <cp:lastModifiedBy>gxxc</cp:lastModifiedBy>
  <cp:lastPrinted>2022-12-29T11:17:00Z</cp:lastPrinted>
  <dcterms:modified xsi:type="dcterms:W3CDTF">2022-12-29T17:06:09Z</dcterms:modified>
  <cp:revision>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704CF23E1DC443EF87E829C6BE6096C8</vt:lpwstr>
  </property>
  <property fmtid="{D5CDD505-2E9C-101B-9397-08002B2CF9AE}" pid="4" name="commondata">
    <vt:lpwstr>eyJoZGlkIjoiZGZmZDU5YTJkMDlmYzY2N2ExNTA4Mzg3ZWRkZGMyZmQifQ==</vt:lpwstr>
  </property>
</Properties>
</file>