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C49ED3">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left"/>
        <w:textAlignment w:val="auto"/>
        <w:rPr>
          <w:rFonts w:hint="default" w:ascii="黑体" w:hAnsi="黑体" w:eastAsia="黑体" w:cs="黑体"/>
          <w:b w:val="0"/>
          <w:bCs w:val="0"/>
          <w:kern w:val="2"/>
          <w:sz w:val="32"/>
          <w:szCs w:val="32"/>
          <w:u w:val="none"/>
          <w:lang w:val="en-US" w:eastAsia="zh-CN" w:bidi="ar-SA"/>
        </w:rPr>
      </w:pPr>
      <w:bookmarkStart w:id="0" w:name="_Toc35393832"/>
      <w:bookmarkStart w:id="1" w:name="_Toc28359042"/>
      <w:r>
        <w:rPr>
          <w:rFonts w:hint="eastAsia" w:ascii="黑体" w:hAnsi="黑体" w:eastAsia="黑体" w:cs="黑体"/>
          <w:b w:val="0"/>
          <w:bCs w:val="0"/>
          <w:kern w:val="2"/>
          <w:sz w:val="32"/>
          <w:szCs w:val="32"/>
          <w:u w:val="none"/>
          <w:lang w:val="en-US" w:eastAsia="zh-CN" w:bidi="ar-SA"/>
        </w:rPr>
        <w:t>附件1</w:t>
      </w:r>
    </w:p>
    <w:p w14:paraId="3B814A30">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center"/>
        <w:textAlignment w:val="auto"/>
        <w:rPr>
          <w:rFonts w:hint="eastAsia" w:ascii="方正小标宋简体" w:hAnsi="方正小标宋简体" w:eastAsia="方正小标宋简体" w:cs="方正小标宋简体"/>
          <w:b w:val="0"/>
          <w:bCs w:val="0"/>
          <w:u w:val="none"/>
          <w:lang w:val="zh-CN" w:eastAsia="zh-CN"/>
        </w:rPr>
      </w:pPr>
    </w:p>
    <w:p w14:paraId="1C13DD7A">
      <w:pPr>
        <w:keepNext w:val="0"/>
        <w:keepLines w:val="0"/>
        <w:pageBreakBefore w:val="0"/>
        <w:widowControl w:val="0"/>
        <w:kinsoku/>
        <w:wordWrap/>
        <w:overflowPunct/>
        <w:topLinePunct w:val="0"/>
        <w:autoSpaceDE/>
        <w:autoSpaceDN/>
        <w:bidi w:val="0"/>
        <w:adjustRightInd/>
        <w:spacing w:line="560" w:lineRule="exact"/>
        <w:ind w:right="0"/>
        <w:jc w:val="center"/>
        <w:textAlignment w:val="auto"/>
        <w:rPr>
          <w:rFonts w:hint="eastAsia" w:ascii="方正小标宋简体" w:hAnsi="方正小标宋简体" w:eastAsia="方正小标宋简体" w:cs="方正小标宋简体"/>
          <w:b w:val="0"/>
          <w:bCs w:val="0"/>
          <w:sz w:val="44"/>
          <w:szCs w:val="44"/>
          <w:u w:val="none"/>
        </w:rPr>
      </w:pPr>
      <w:r>
        <w:rPr>
          <w:rFonts w:hint="eastAsia" w:ascii="方正小标宋简体" w:hAnsi="方正小标宋简体" w:eastAsia="方正小标宋简体" w:cs="方正小标宋简体"/>
          <w:sz w:val="44"/>
          <w:szCs w:val="44"/>
          <w:lang w:eastAsia="zh-Hans"/>
        </w:rPr>
        <w:t>“</w:t>
      </w:r>
      <w:r>
        <w:rPr>
          <w:rFonts w:hint="eastAsia" w:ascii="方正小标宋简体" w:hAnsi="方正小标宋简体" w:eastAsia="方正小标宋简体" w:cs="方正小标宋简体"/>
          <w:sz w:val="44"/>
          <w:szCs w:val="44"/>
          <w:lang w:val="en-US" w:eastAsia="zh-Hans"/>
        </w:rPr>
        <w:t>桂十味”品牌宣传推广建设</w:t>
      </w:r>
      <w:r>
        <w:rPr>
          <w:rFonts w:hint="eastAsia" w:ascii="方正小标宋简体" w:hAnsi="方正小标宋简体" w:eastAsia="方正小标宋简体" w:cs="方正小标宋简体"/>
          <w:b w:val="0"/>
          <w:bCs w:val="0"/>
          <w:sz w:val="44"/>
          <w:szCs w:val="44"/>
          <w:u w:val="none"/>
          <w:lang w:val="zh-CN" w:eastAsia="zh-CN"/>
        </w:rPr>
        <w:t>项目</w:t>
      </w:r>
      <w:r>
        <w:rPr>
          <w:rFonts w:hint="eastAsia" w:ascii="方正小标宋简体" w:hAnsi="方正小标宋简体" w:eastAsia="方正小标宋简体" w:cs="方正小标宋简体"/>
          <w:b w:val="0"/>
          <w:bCs w:val="0"/>
          <w:sz w:val="44"/>
          <w:szCs w:val="44"/>
          <w:u w:val="none"/>
        </w:rPr>
        <w:t>采购</w:t>
      </w:r>
      <w:bookmarkEnd w:id="0"/>
      <w:bookmarkEnd w:id="1"/>
      <w:r>
        <w:rPr>
          <w:rFonts w:hint="eastAsia" w:ascii="方正小标宋简体" w:hAnsi="方正小标宋简体" w:eastAsia="方正小标宋简体" w:cs="方正小标宋简体"/>
          <w:b w:val="0"/>
          <w:bCs w:val="0"/>
          <w:sz w:val="44"/>
          <w:szCs w:val="44"/>
          <w:u w:val="none"/>
        </w:rPr>
        <w:t>信息</w:t>
      </w:r>
    </w:p>
    <w:p w14:paraId="7B7467BF">
      <w:pPr>
        <w:pStyle w:val="2"/>
        <w:rPr>
          <w:rFonts w:hint="eastAsia"/>
        </w:rPr>
      </w:pPr>
    </w:p>
    <w:p w14:paraId="36ACF2E9">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ind w:firstLine="560" w:firstLineChars="200"/>
        <w:jc w:val="left"/>
        <w:textAlignment w:val="auto"/>
        <w:rPr>
          <w:rFonts w:ascii="黑体" w:hAnsi="黑体" w:eastAsia="黑体"/>
          <w:b w:val="0"/>
          <w:bCs w:val="0"/>
          <w:sz w:val="28"/>
          <w:szCs w:val="28"/>
          <w:u w:val="none"/>
        </w:rPr>
      </w:pPr>
      <w:r>
        <w:rPr>
          <w:rFonts w:hint="eastAsia" w:ascii="黑体" w:hAnsi="黑体" w:eastAsia="黑体"/>
          <w:b w:val="0"/>
          <w:bCs w:val="0"/>
          <w:sz w:val="28"/>
          <w:szCs w:val="28"/>
          <w:u w:val="none"/>
        </w:rPr>
        <w:t>一、项目信息</w:t>
      </w:r>
    </w:p>
    <w:p w14:paraId="3D7E4F9F">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lang w:eastAsia="zh-CN"/>
        </w:rPr>
        <w:t>采</w:t>
      </w:r>
      <w:r>
        <w:rPr>
          <w:rFonts w:hint="eastAsia" w:ascii="仿宋_GB2312" w:hAnsi="仿宋_GB2312" w:eastAsia="仿宋_GB2312" w:cs="仿宋_GB2312"/>
          <w:b w:val="0"/>
          <w:bCs w:val="0"/>
          <w:sz w:val="32"/>
          <w:szCs w:val="32"/>
          <w:u w:val="none"/>
        </w:rPr>
        <w:t>购单位：</w:t>
      </w:r>
      <w:r>
        <w:rPr>
          <w:rFonts w:hint="eastAsia" w:ascii="仿宋_GB2312" w:hAnsi="仿宋_GB2312" w:eastAsia="仿宋_GB2312" w:cs="仿宋_GB2312"/>
          <w:b w:val="0"/>
          <w:bCs w:val="0"/>
          <w:sz w:val="32"/>
          <w:szCs w:val="32"/>
          <w:u w:val="none"/>
          <w:lang w:eastAsia="zh-CN"/>
        </w:rPr>
        <w:t>广西壮族自治区中医药管理局</w:t>
      </w:r>
      <w:r>
        <w:rPr>
          <w:rFonts w:hint="eastAsia" w:ascii="仿宋_GB2312" w:hAnsi="仿宋_GB2312" w:eastAsia="仿宋_GB2312" w:cs="仿宋_GB2312"/>
          <w:b w:val="0"/>
          <w:bCs w:val="0"/>
          <w:sz w:val="32"/>
          <w:szCs w:val="32"/>
          <w:u w:val="none"/>
        </w:rPr>
        <w:t>　</w:t>
      </w:r>
    </w:p>
    <w:p w14:paraId="2B0EE984">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lang w:val="zh-CN" w:eastAsia="zh-CN"/>
        </w:rPr>
      </w:pPr>
      <w:r>
        <w:rPr>
          <w:rFonts w:hint="eastAsia" w:ascii="仿宋_GB2312" w:hAnsi="仿宋_GB2312" w:eastAsia="仿宋_GB2312" w:cs="仿宋_GB2312"/>
          <w:b w:val="0"/>
          <w:bCs w:val="0"/>
          <w:sz w:val="32"/>
          <w:szCs w:val="32"/>
          <w:u w:val="none"/>
        </w:rPr>
        <w:t>项目名称：</w:t>
      </w:r>
      <w:r>
        <w:rPr>
          <w:rFonts w:hint="eastAsia" w:ascii="仿宋_GB2312" w:hAnsi="仿宋_GB2312" w:eastAsia="仿宋_GB2312" w:cs="仿宋_GB2312"/>
          <w:b w:val="0"/>
          <w:bCs w:val="0"/>
          <w:sz w:val="32"/>
          <w:szCs w:val="32"/>
          <w:u w:val="none"/>
          <w:lang w:eastAsia="zh-Hans"/>
        </w:rPr>
        <w:t>“</w:t>
      </w:r>
      <w:r>
        <w:rPr>
          <w:rFonts w:hint="eastAsia" w:ascii="仿宋_GB2312" w:hAnsi="仿宋_GB2312" w:eastAsia="仿宋_GB2312" w:cs="仿宋_GB2312"/>
          <w:b w:val="0"/>
          <w:bCs w:val="0"/>
          <w:sz w:val="32"/>
          <w:szCs w:val="32"/>
          <w:u w:val="none"/>
          <w:lang w:val="en-US" w:eastAsia="zh-Hans"/>
        </w:rPr>
        <w:t>桂十味”品牌宣传推广建设</w:t>
      </w:r>
      <w:r>
        <w:rPr>
          <w:rFonts w:hint="eastAsia" w:ascii="仿宋_GB2312" w:hAnsi="仿宋_GB2312" w:eastAsia="仿宋_GB2312" w:cs="仿宋_GB2312"/>
          <w:b w:val="0"/>
          <w:bCs w:val="0"/>
          <w:sz w:val="32"/>
          <w:szCs w:val="32"/>
          <w:u w:val="none"/>
          <w:lang w:val="zh-CN" w:eastAsia="zh-CN"/>
        </w:rPr>
        <w:t>项目</w:t>
      </w:r>
    </w:p>
    <w:p w14:paraId="21822509">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u w:val="none"/>
        </w:rPr>
        <w:t>拟采购的货物或服务的说明：</w:t>
      </w:r>
      <w:r>
        <w:rPr>
          <w:rFonts w:hint="eastAsia" w:ascii="仿宋_GB2312" w:hAnsi="仿宋_GB2312" w:eastAsia="仿宋_GB2312" w:cs="仿宋_GB2312"/>
          <w:sz w:val="32"/>
          <w:szCs w:val="32"/>
          <w:lang w:val="en-US" w:eastAsia="zh-CN"/>
        </w:rPr>
        <w:t>开展</w:t>
      </w:r>
      <w:r>
        <w:rPr>
          <w:rFonts w:hint="eastAsia" w:ascii="仿宋_GB2312" w:hAnsi="仿宋_GB2312" w:eastAsia="仿宋_GB2312" w:cs="仿宋_GB2312"/>
          <w:sz w:val="32"/>
          <w:szCs w:val="32"/>
          <w:lang w:val="en-US" w:eastAsia="zh-Hans"/>
        </w:rPr>
        <w:t>“桂十味”品牌宣传推广工作</w:t>
      </w:r>
      <w:r>
        <w:rPr>
          <w:rFonts w:hint="eastAsia" w:ascii="仿宋_GB2312" w:hAnsi="仿宋_GB2312" w:eastAsia="仿宋_GB2312" w:cs="仿宋_GB2312"/>
          <w:color w:val="000000"/>
          <w:kern w:val="0"/>
          <w:sz w:val="32"/>
          <w:szCs w:val="32"/>
          <w:lang w:val="en-US" w:eastAsia="zh-Hans"/>
        </w:rPr>
        <w:t>，通过新闻媒体、展览展示等多渠道对“桂十味”、“桂药膳”品牌基地建设推广，进一步促进广西中药民族药产业的发展。项目主要用于</w:t>
      </w:r>
      <w:r>
        <w:rPr>
          <w:rFonts w:hint="eastAsia" w:ascii="仿宋_GB2312" w:hAnsi="仿宋_GB2312" w:eastAsia="仿宋_GB2312" w:cs="仿宋_GB2312"/>
          <w:color w:val="000000"/>
          <w:kern w:val="0"/>
          <w:sz w:val="32"/>
          <w:szCs w:val="32"/>
          <w:lang w:val="en-US" w:eastAsia="zh-CN"/>
        </w:rPr>
        <w:t>开展</w:t>
      </w:r>
      <w:r>
        <w:rPr>
          <w:rFonts w:hint="eastAsia" w:ascii="仿宋_GB2312" w:hAnsi="仿宋_GB2312" w:eastAsia="仿宋_GB2312" w:cs="仿宋_GB2312"/>
          <w:color w:val="000000"/>
          <w:kern w:val="0"/>
          <w:sz w:val="32"/>
          <w:szCs w:val="32"/>
          <w:lang w:val="en-US" w:eastAsia="zh-Hans"/>
        </w:rPr>
        <w:t>“桂十味”宣传片更新</w:t>
      </w:r>
      <w:r>
        <w:rPr>
          <w:rFonts w:hint="eastAsia" w:ascii="仿宋_GB2312" w:hAnsi="仿宋_GB2312" w:eastAsia="仿宋_GB2312" w:cs="仿宋_GB2312"/>
          <w:color w:val="000000"/>
          <w:kern w:val="0"/>
          <w:sz w:val="32"/>
          <w:szCs w:val="32"/>
          <w:lang w:val="en-US" w:eastAsia="zh-CN"/>
        </w:rPr>
        <w:t>，制作</w:t>
      </w:r>
      <w:r>
        <w:rPr>
          <w:rFonts w:hint="eastAsia" w:ascii="仿宋_GB2312" w:hAnsi="仿宋_GB2312" w:eastAsia="仿宋_GB2312" w:cs="仿宋_GB2312"/>
          <w:color w:val="000000"/>
          <w:kern w:val="0"/>
          <w:sz w:val="32"/>
          <w:szCs w:val="32"/>
          <w:lang w:val="en-US" w:eastAsia="zh-Hans"/>
        </w:rPr>
        <w:t>中医药产业宣传片</w:t>
      </w:r>
      <w:r>
        <w:rPr>
          <w:rFonts w:hint="eastAsia" w:ascii="仿宋_GB2312" w:hAnsi="仿宋_GB2312" w:eastAsia="仿宋_GB2312" w:cs="仿宋_GB2312"/>
          <w:color w:val="000000"/>
          <w:kern w:val="0"/>
          <w:sz w:val="32"/>
          <w:szCs w:val="32"/>
          <w:lang w:val="en-US" w:eastAsia="zh-CN"/>
        </w:rPr>
        <w:t>1部</w:t>
      </w:r>
      <w:r>
        <w:rPr>
          <w:rFonts w:hint="eastAsia" w:ascii="仿宋_GB2312" w:hAnsi="仿宋_GB2312" w:eastAsia="仿宋_GB2312" w:cs="仿宋_GB2312"/>
          <w:color w:val="000000"/>
          <w:kern w:val="0"/>
          <w:sz w:val="32"/>
          <w:szCs w:val="32"/>
          <w:lang w:val="en-US" w:eastAsia="zh-Hans"/>
        </w:rPr>
        <w:t>，设计、制作印发“桂十味”、“桂药膳”宣传手册、产业宣传手册等</w:t>
      </w:r>
      <w:r>
        <w:rPr>
          <w:rFonts w:hint="eastAsia" w:ascii="仿宋_GB2312" w:hAnsi="仿宋_GB2312" w:eastAsia="仿宋_GB2312" w:cs="仿宋_GB2312"/>
          <w:color w:val="000000"/>
          <w:kern w:val="0"/>
          <w:sz w:val="32"/>
          <w:szCs w:val="32"/>
          <w:lang w:val="en-US" w:eastAsia="zh-CN"/>
        </w:rPr>
        <w:t>2000册以上</w:t>
      </w:r>
      <w:r>
        <w:rPr>
          <w:rFonts w:hint="eastAsia" w:ascii="仿宋_GB2312" w:hAnsi="仿宋_GB2312" w:eastAsia="仿宋_GB2312" w:cs="仿宋_GB2312"/>
          <w:color w:val="000000"/>
          <w:kern w:val="0"/>
          <w:sz w:val="32"/>
          <w:szCs w:val="32"/>
          <w:lang w:val="en-US" w:eastAsia="zh-Hans"/>
        </w:rPr>
        <w:t>，在区内外的中医药产业交流会、论坛等多渠道进行“桂十味”、“桂药膳”品牌的展览展示</w:t>
      </w:r>
      <w:r>
        <w:rPr>
          <w:rFonts w:hint="eastAsia" w:ascii="仿宋_GB2312" w:hAnsi="仿宋_GB2312" w:eastAsia="仿宋_GB2312" w:cs="仿宋_GB2312"/>
          <w:color w:val="000000"/>
          <w:kern w:val="0"/>
          <w:sz w:val="32"/>
          <w:szCs w:val="32"/>
          <w:lang w:val="en-US" w:eastAsia="zh-CN"/>
        </w:rPr>
        <w:t>不少于6次</w:t>
      </w:r>
      <w:r>
        <w:rPr>
          <w:rFonts w:hint="eastAsia" w:ascii="仿宋_GB2312" w:hAnsi="仿宋_GB2312" w:eastAsia="仿宋_GB2312" w:cs="仿宋_GB2312"/>
          <w:color w:val="000000"/>
          <w:kern w:val="0"/>
          <w:sz w:val="32"/>
          <w:szCs w:val="32"/>
          <w:lang w:val="en-US" w:eastAsia="zh-Hans"/>
        </w:rPr>
        <w:t>；通过会议、展会等开展以“桂十味”等广西道地药材和“桂药膳”为核心的广西中医药产业宣传,形成先行先试示范效应，促进“桂十味”、“桂药膳”品牌及产业宣传推广，进一步促进广西中药民族药产业的发展。</w:t>
      </w:r>
    </w:p>
    <w:p w14:paraId="569108EC">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rPr>
        <w:t>拟采购</w:t>
      </w:r>
      <w:r>
        <w:rPr>
          <w:rFonts w:hint="eastAsia" w:ascii="仿宋_GB2312" w:hAnsi="仿宋_GB2312" w:eastAsia="仿宋_GB2312" w:cs="仿宋_GB2312"/>
          <w:b w:val="0"/>
          <w:bCs w:val="0"/>
          <w:sz w:val="32"/>
          <w:szCs w:val="32"/>
          <w:u w:val="none"/>
          <w:lang w:eastAsia="zh-CN"/>
        </w:rPr>
        <w:t>的</w:t>
      </w:r>
      <w:r>
        <w:rPr>
          <w:rFonts w:hint="eastAsia" w:ascii="仿宋_GB2312" w:hAnsi="仿宋_GB2312" w:eastAsia="仿宋_GB2312" w:cs="仿宋_GB2312"/>
          <w:b w:val="0"/>
          <w:bCs w:val="0"/>
          <w:sz w:val="32"/>
          <w:szCs w:val="32"/>
          <w:u w:val="none"/>
        </w:rPr>
        <w:t>服务预算金额(元)：</w:t>
      </w:r>
      <w:r>
        <w:rPr>
          <w:rFonts w:hint="eastAsia" w:ascii="仿宋_GB2312" w:hAnsi="仿宋_GB2312" w:eastAsia="仿宋_GB2312" w:cs="仿宋_GB2312"/>
          <w:b w:val="0"/>
          <w:bCs w:val="0"/>
          <w:sz w:val="32"/>
          <w:szCs w:val="32"/>
          <w:u w:val="none"/>
          <w:lang w:val="en-US" w:eastAsia="zh-CN"/>
        </w:rPr>
        <w:t>1100000.00</w:t>
      </w:r>
      <w:r>
        <w:rPr>
          <w:rFonts w:hint="eastAsia" w:ascii="仿宋_GB2312" w:hAnsi="仿宋_GB2312" w:eastAsia="仿宋_GB2312" w:cs="仿宋_GB2312"/>
          <w:b w:val="0"/>
          <w:bCs w:val="0"/>
          <w:sz w:val="32"/>
          <w:szCs w:val="32"/>
          <w:u w:val="none"/>
        </w:rPr>
        <w:t>　</w:t>
      </w:r>
    </w:p>
    <w:p w14:paraId="576DDD01">
      <w:pPr>
        <w:keepNext w:val="0"/>
        <w:keepLines w:val="0"/>
        <w:pageBreakBefore w:val="0"/>
        <w:widowControl w:val="0"/>
        <w:kinsoku/>
        <w:wordWrap/>
        <w:overflowPunct/>
        <w:topLinePunct w:val="0"/>
        <w:autoSpaceDE/>
        <w:autoSpaceDN/>
        <w:bidi w:val="0"/>
        <w:adjustRightInd/>
        <w:spacing w:line="560" w:lineRule="exact"/>
        <w:ind w:right="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u w:val="none"/>
        </w:rPr>
        <w:t>采用单一来源采购方式的原因及说明：</w:t>
      </w:r>
      <w:r>
        <w:rPr>
          <w:rFonts w:hint="eastAsia" w:ascii="仿宋_GB2312" w:hAnsi="仿宋_GB2312" w:eastAsia="仿宋_GB2312" w:cs="仿宋_GB2312"/>
          <w:sz w:val="32"/>
          <w:szCs w:val="32"/>
          <w:lang w:val="en-US" w:eastAsia="zh-Hans"/>
        </w:rPr>
        <w:t>广西壮族自治区中医药研究院是广西成立最早、规模较大、学科齐全、综合实力较强，主要从事中药、民族药开发研究的专业机构。研究院历年承担国家、省部或厅局级科研项目550多项，荣获各级科技奖励80余项;自主和联合开发新药、保健药、民族药和日化产品110个,开发出“降压灵”、“解炎灵”、“脑心宁”、“驱风痛”、“卫康醇”、“广西蛇药”等驰各区内外的新药20多个</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Hans"/>
        </w:rPr>
        <w:t>长期开展“桂十味”道地药材规范种植示范、种植资源收集与评价、品种整理与质量标准规范等研究工作，形成独有的民族品牌。在“桂十味”品牌宣传推广、促进我区“桂十味”产业发展起到重要作用，</w:t>
      </w:r>
      <w:r>
        <w:rPr>
          <w:rFonts w:hint="eastAsia" w:ascii="仿宋_GB2312" w:hAnsi="仿宋_GB2312" w:eastAsia="仿宋_GB2312" w:cs="仿宋_GB2312"/>
          <w:sz w:val="32"/>
          <w:szCs w:val="32"/>
        </w:rPr>
        <w:t>完全具备承接完成项目的能力</w:t>
      </w:r>
      <w:r>
        <w:rPr>
          <w:rFonts w:hint="eastAsia" w:ascii="仿宋_GB2312" w:hAnsi="仿宋_GB2312" w:eastAsia="仿宋_GB2312" w:cs="仿宋_GB2312"/>
          <w:sz w:val="32"/>
          <w:szCs w:val="32"/>
          <w:lang w:eastAsia="zh-CN"/>
        </w:rPr>
        <w:t>，且具有唯一性。</w:t>
      </w:r>
    </w:p>
    <w:p w14:paraId="53A62672">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color w:val="000000"/>
          <w:sz w:val="32"/>
          <w:szCs w:val="32"/>
          <w:lang w:eastAsia="zh-CN"/>
        </w:rPr>
        <w:t>因此，采用</w:t>
      </w:r>
      <w:r>
        <w:rPr>
          <w:rFonts w:hint="eastAsia" w:ascii="仿宋_GB2312" w:hAnsi="仿宋_GB2312" w:eastAsia="仿宋_GB2312" w:cs="仿宋_GB2312"/>
          <w:color w:val="000000"/>
          <w:sz w:val="32"/>
          <w:szCs w:val="32"/>
        </w:rPr>
        <w:t>单一来源采购方式</w:t>
      </w:r>
      <w:r>
        <w:rPr>
          <w:rFonts w:hint="eastAsia" w:ascii="仿宋_GB2312" w:hAnsi="仿宋_GB2312" w:eastAsia="仿宋_GB2312" w:cs="仿宋_GB2312"/>
          <w:color w:val="000000"/>
          <w:sz w:val="32"/>
          <w:szCs w:val="32"/>
          <w:lang w:eastAsia="zh-CN"/>
        </w:rPr>
        <w:t>采购“</w:t>
      </w:r>
      <w:r>
        <w:rPr>
          <w:rFonts w:hint="eastAsia" w:ascii="仿宋_GB2312" w:hAnsi="仿宋_GB2312" w:eastAsia="仿宋_GB2312" w:cs="仿宋_GB2312"/>
          <w:color w:val="000000"/>
          <w:sz w:val="32"/>
          <w:szCs w:val="32"/>
          <w:lang w:val="en-US" w:eastAsia="zh-CN"/>
        </w:rPr>
        <w:t>桂十味”品牌宣传推广建设</w:t>
      </w:r>
      <w:r>
        <w:rPr>
          <w:rFonts w:hint="eastAsia" w:ascii="仿宋_GB2312" w:hAnsi="仿宋_GB2312" w:eastAsia="仿宋_GB2312" w:cs="仿宋_GB2312"/>
          <w:sz w:val="32"/>
          <w:szCs w:val="32"/>
          <w:lang w:eastAsia="zh-CN"/>
        </w:rPr>
        <w:t>项目</w:t>
      </w:r>
      <w:r>
        <w:rPr>
          <w:rFonts w:hint="eastAsia" w:ascii="仿宋_GB2312" w:hAnsi="仿宋_GB2312" w:eastAsia="仿宋_GB2312" w:cs="仿宋_GB2312"/>
          <w:color w:val="000000"/>
          <w:sz w:val="32"/>
          <w:szCs w:val="32"/>
          <w:lang w:eastAsia="zh-CN"/>
        </w:rPr>
        <w:t>，并委托</w:t>
      </w:r>
      <w:r>
        <w:rPr>
          <w:rFonts w:hint="eastAsia" w:ascii="仿宋_GB2312" w:hAnsi="仿宋_GB2312" w:eastAsia="仿宋_GB2312" w:cs="仿宋_GB2312"/>
          <w:sz w:val="32"/>
          <w:szCs w:val="32"/>
          <w:lang w:val="en-US" w:eastAsia="zh-Hans"/>
        </w:rPr>
        <w:t>广西壮族自治区中医药研究院</w:t>
      </w:r>
      <w:r>
        <w:rPr>
          <w:rFonts w:hint="eastAsia" w:ascii="仿宋_GB2312" w:hAnsi="仿宋_GB2312" w:eastAsia="仿宋_GB2312" w:cs="仿宋_GB2312"/>
          <w:sz w:val="32"/>
          <w:szCs w:val="32"/>
          <w:lang w:val="en-US" w:eastAsia="zh-CN"/>
        </w:rPr>
        <w:t>为</w:t>
      </w:r>
      <w:r>
        <w:rPr>
          <w:rFonts w:hint="eastAsia" w:ascii="仿宋_GB2312" w:hAnsi="仿宋_GB2312" w:eastAsia="仿宋_GB2312" w:cs="仿宋_GB2312"/>
          <w:color w:val="000000"/>
          <w:sz w:val="32"/>
          <w:szCs w:val="32"/>
        </w:rPr>
        <w:t>承接</w:t>
      </w:r>
      <w:r>
        <w:rPr>
          <w:rFonts w:hint="eastAsia" w:ascii="仿宋_GB2312" w:hAnsi="仿宋_GB2312" w:eastAsia="仿宋_GB2312" w:cs="仿宋_GB2312"/>
          <w:color w:val="000000"/>
          <w:sz w:val="32"/>
          <w:szCs w:val="32"/>
          <w:lang w:eastAsia="zh-CN"/>
        </w:rPr>
        <w:t>单位</w:t>
      </w:r>
      <w:r>
        <w:rPr>
          <w:rFonts w:hint="eastAsia" w:ascii="仿宋_GB2312" w:hAnsi="仿宋_GB2312" w:eastAsia="仿宋_GB2312" w:cs="仿宋_GB2312"/>
          <w:color w:val="000000"/>
          <w:sz w:val="32"/>
          <w:szCs w:val="32"/>
        </w:rPr>
        <w:t>，是可行的</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必要的</w:t>
      </w:r>
      <w:r>
        <w:rPr>
          <w:rFonts w:hint="eastAsia" w:ascii="仿宋_GB2312" w:hAnsi="仿宋_GB2312" w:eastAsia="仿宋_GB2312" w:cs="仿宋_GB2312"/>
          <w:sz w:val="32"/>
          <w:szCs w:val="32"/>
        </w:rPr>
        <w:t>。</w:t>
      </w:r>
      <w:r>
        <w:rPr>
          <w:rFonts w:hint="eastAsia" w:ascii="仿宋_GB2312" w:hAnsi="仿宋_GB2312" w:eastAsia="仿宋_GB2312" w:cs="仿宋_GB2312"/>
          <w:b w:val="0"/>
          <w:bCs w:val="0"/>
          <w:sz w:val="32"/>
          <w:szCs w:val="32"/>
          <w:lang w:val="en-US" w:eastAsia="zh-CN"/>
        </w:rPr>
        <w:t>采购符合《中华人民共和国政府</w:t>
      </w:r>
      <w:bookmarkStart w:id="2" w:name="_GoBack"/>
      <w:bookmarkEnd w:id="2"/>
      <w:r>
        <w:rPr>
          <w:rFonts w:hint="eastAsia" w:ascii="仿宋_GB2312" w:hAnsi="仿宋_GB2312" w:eastAsia="仿宋_GB2312" w:cs="仿宋_GB2312"/>
          <w:b w:val="0"/>
          <w:bCs w:val="0"/>
          <w:sz w:val="32"/>
          <w:szCs w:val="32"/>
          <w:lang w:val="en-US" w:eastAsia="zh-CN"/>
        </w:rPr>
        <w:t>采购法》，符合《广西壮族自治区财政厅关于进一步规范政府采购单一来源采购方式管理的通知》（桂财规〔2021〕4号）中的第一种情形要求。</w:t>
      </w:r>
    </w:p>
    <w:p w14:paraId="1C2F3F2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lang w:eastAsia="zh-CN"/>
        </w:rPr>
        <w:t>二、</w:t>
      </w:r>
      <w:r>
        <w:rPr>
          <w:rFonts w:hint="eastAsia" w:ascii="黑体" w:hAnsi="黑体" w:eastAsia="黑体"/>
          <w:b w:val="0"/>
          <w:bCs w:val="0"/>
          <w:sz w:val="28"/>
          <w:szCs w:val="28"/>
          <w:highlight w:val="none"/>
          <w:u w:val="none"/>
        </w:rPr>
        <w:t>拟定供应商信息</w:t>
      </w:r>
    </w:p>
    <w:p w14:paraId="23A2779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b w:val="0"/>
          <w:bCs w:val="0"/>
          <w:sz w:val="32"/>
          <w:szCs w:val="32"/>
          <w:u w:val="none"/>
          <w:lang w:val="en-US" w:eastAsia="zh-Hans"/>
        </w:rPr>
      </w:pPr>
      <w:r>
        <w:rPr>
          <w:rFonts w:hint="eastAsia" w:ascii="仿宋_GB2312" w:hAnsi="仿宋_GB2312" w:eastAsia="仿宋_GB2312" w:cs="仿宋_GB2312"/>
          <w:b w:val="0"/>
          <w:bCs w:val="0"/>
          <w:sz w:val="32"/>
          <w:szCs w:val="32"/>
          <w:u w:val="none"/>
        </w:rPr>
        <w:t>名称：</w:t>
      </w:r>
      <w:r>
        <w:rPr>
          <w:rFonts w:hint="eastAsia" w:ascii="仿宋_GB2312" w:hAnsi="仿宋_GB2312" w:eastAsia="仿宋_GB2312" w:cs="仿宋_GB2312"/>
          <w:b w:val="0"/>
          <w:bCs w:val="0"/>
          <w:sz w:val="32"/>
          <w:szCs w:val="32"/>
          <w:u w:val="none"/>
          <w:lang w:eastAsia="zh-CN"/>
        </w:rPr>
        <w:t>广西壮族</w:t>
      </w:r>
      <w:r>
        <w:rPr>
          <w:rFonts w:hint="eastAsia" w:ascii="仿宋_GB2312" w:hAnsi="仿宋_GB2312" w:eastAsia="仿宋_GB2312" w:cs="仿宋_GB2312"/>
          <w:b w:val="0"/>
          <w:bCs w:val="0"/>
          <w:sz w:val="32"/>
          <w:szCs w:val="32"/>
          <w:u w:val="none"/>
        </w:rPr>
        <w:t>自治区</w:t>
      </w:r>
      <w:r>
        <w:rPr>
          <w:rFonts w:hint="eastAsia" w:ascii="仿宋_GB2312" w:hAnsi="仿宋_GB2312" w:eastAsia="仿宋_GB2312" w:cs="仿宋_GB2312"/>
          <w:b w:val="0"/>
          <w:bCs w:val="0"/>
          <w:sz w:val="32"/>
          <w:szCs w:val="32"/>
          <w:u w:val="none"/>
          <w:lang w:val="en-US" w:eastAsia="zh-Hans"/>
        </w:rPr>
        <w:t>中医药研究院</w:t>
      </w:r>
    </w:p>
    <w:p w14:paraId="4D4A621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default" w:ascii="仿宋_GB2312" w:hAnsi="仿宋_GB2312" w:eastAsia="仿宋_GB2312" w:cs="仿宋_GB2312"/>
          <w:b w:val="0"/>
          <w:bCs w:val="0"/>
          <w:sz w:val="32"/>
          <w:szCs w:val="32"/>
          <w:highlight w:val="none"/>
          <w:u w:val="none"/>
          <w:lang w:val="en-US" w:eastAsia="zh-Hans"/>
        </w:rPr>
      </w:pPr>
      <w:r>
        <w:rPr>
          <w:rFonts w:hint="eastAsia" w:ascii="仿宋_GB2312" w:hAnsi="仿宋_GB2312" w:eastAsia="仿宋_GB2312" w:cs="仿宋_GB2312"/>
          <w:b w:val="0"/>
          <w:bCs w:val="0"/>
          <w:sz w:val="32"/>
          <w:szCs w:val="32"/>
          <w:highlight w:val="none"/>
          <w:u w:val="none"/>
        </w:rPr>
        <w:t>地址</w:t>
      </w:r>
      <w:r>
        <w:rPr>
          <w:rFonts w:hint="eastAsia" w:ascii="仿宋_GB2312" w:hAnsi="仿宋_GB2312" w:eastAsia="仿宋_GB2312" w:cs="仿宋_GB2312"/>
          <w:b w:val="0"/>
          <w:bCs w:val="0"/>
          <w:sz w:val="32"/>
          <w:szCs w:val="32"/>
          <w:highlight w:val="none"/>
          <w:u w:val="none"/>
          <w:lang w:eastAsia="zh-CN"/>
        </w:rPr>
        <w:t>：广西南宁市</w:t>
      </w:r>
      <w:r>
        <w:rPr>
          <w:rFonts w:hint="eastAsia" w:ascii="仿宋_GB2312" w:hAnsi="仿宋_GB2312" w:eastAsia="仿宋_GB2312" w:cs="仿宋_GB2312"/>
          <w:b w:val="0"/>
          <w:bCs w:val="0"/>
          <w:sz w:val="32"/>
          <w:szCs w:val="32"/>
          <w:highlight w:val="none"/>
          <w:u w:val="none"/>
          <w:lang w:val="en-US" w:eastAsia="zh-Hans"/>
        </w:rPr>
        <w:t>东葛路</w:t>
      </w:r>
      <w:r>
        <w:rPr>
          <w:rFonts w:hint="default" w:ascii="仿宋_GB2312" w:hAnsi="仿宋_GB2312" w:eastAsia="仿宋_GB2312" w:cs="仿宋_GB2312"/>
          <w:b w:val="0"/>
          <w:bCs w:val="0"/>
          <w:sz w:val="32"/>
          <w:szCs w:val="32"/>
          <w:highlight w:val="none"/>
          <w:u w:val="none"/>
          <w:lang w:eastAsia="zh-Hans"/>
        </w:rPr>
        <w:t>20-1</w:t>
      </w:r>
      <w:r>
        <w:rPr>
          <w:rFonts w:hint="eastAsia" w:ascii="仿宋_GB2312" w:hAnsi="仿宋_GB2312" w:eastAsia="仿宋_GB2312" w:cs="仿宋_GB2312"/>
          <w:b w:val="0"/>
          <w:bCs w:val="0"/>
          <w:sz w:val="32"/>
          <w:szCs w:val="32"/>
          <w:highlight w:val="none"/>
          <w:u w:val="none"/>
          <w:lang w:val="en-US" w:eastAsia="zh-Hans"/>
        </w:rPr>
        <w:t>号</w:t>
      </w:r>
    </w:p>
    <w:p w14:paraId="0F3BCF7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default" w:ascii="仿宋_GB2312" w:hAnsi="仿宋_GB2312" w:eastAsia="仿宋_GB2312" w:cs="仿宋_GB2312"/>
          <w:b w:val="0"/>
          <w:bCs w:val="0"/>
          <w:sz w:val="32"/>
          <w:szCs w:val="32"/>
          <w:highlight w:val="none"/>
          <w:u w:val="none"/>
          <w:lang w:val="en-US" w:eastAsia="zh-CN"/>
        </w:rPr>
      </w:pPr>
      <w:r>
        <w:rPr>
          <w:rFonts w:hint="eastAsia" w:ascii="仿宋_GB2312" w:hAnsi="仿宋_GB2312" w:eastAsia="仿宋_GB2312" w:cs="仿宋_GB2312"/>
          <w:b w:val="0"/>
          <w:bCs w:val="0"/>
          <w:sz w:val="32"/>
          <w:szCs w:val="32"/>
          <w:highlight w:val="none"/>
          <w:u w:val="none"/>
        </w:rPr>
        <w:t>联系人</w:t>
      </w:r>
      <w:r>
        <w:rPr>
          <w:rFonts w:hint="eastAsia" w:ascii="仿宋_GB2312" w:hAnsi="仿宋_GB2312" w:eastAsia="仿宋_GB2312" w:cs="仿宋_GB2312"/>
          <w:b w:val="0"/>
          <w:bCs w:val="0"/>
          <w:sz w:val="32"/>
          <w:szCs w:val="32"/>
          <w:highlight w:val="none"/>
          <w:u w:val="none"/>
          <w:lang w:val="en-US" w:eastAsia="zh-Hans"/>
        </w:rPr>
        <w:t>及联系电话：</w:t>
      </w:r>
      <w:r>
        <w:rPr>
          <w:rFonts w:hint="eastAsia" w:ascii="仿宋_GB2312" w:hAnsi="仿宋_GB2312" w:eastAsia="仿宋_GB2312" w:cs="仿宋_GB2312"/>
          <w:b w:val="0"/>
          <w:bCs w:val="0"/>
          <w:sz w:val="32"/>
          <w:szCs w:val="32"/>
          <w:highlight w:val="none"/>
          <w:u w:val="none"/>
          <w:lang w:val="en-US" w:eastAsia="zh-CN"/>
        </w:rPr>
        <w:t>李星宇</w:t>
      </w:r>
      <w:r>
        <w:rPr>
          <w:rFonts w:hint="default" w:ascii="仿宋_GB2312" w:hAnsi="仿宋_GB2312" w:eastAsia="仿宋_GB2312" w:cs="仿宋_GB2312"/>
          <w:b w:val="0"/>
          <w:bCs w:val="0"/>
          <w:sz w:val="32"/>
          <w:szCs w:val="32"/>
          <w:highlight w:val="none"/>
          <w:u w:val="none"/>
          <w:lang w:eastAsia="zh-Hans"/>
        </w:rPr>
        <w:t xml:space="preserve"> </w:t>
      </w:r>
      <w:r>
        <w:rPr>
          <w:rFonts w:hint="eastAsia" w:ascii="仿宋_GB2312" w:hAnsi="仿宋_GB2312" w:eastAsia="仿宋_GB2312" w:cs="仿宋_GB2312"/>
          <w:b w:val="0"/>
          <w:bCs w:val="0"/>
          <w:sz w:val="32"/>
          <w:szCs w:val="32"/>
          <w:highlight w:val="none"/>
          <w:u w:val="none"/>
        </w:rPr>
        <w:t>0771-58</w:t>
      </w:r>
      <w:r>
        <w:rPr>
          <w:rFonts w:hint="eastAsia" w:ascii="仿宋_GB2312" w:hAnsi="仿宋_GB2312" w:eastAsia="仿宋_GB2312" w:cs="仿宋_GB2312"/>
          <w:b w:val="0"/>
          <w:bCs w:val="0"/>
          <w:sz w:val="32"/>
          <w:szCs w:val="32"/>
          <w:highlight w:val="none"/>
          <w:u w:val="none"/>
          <w:lang w:val="en-US" w:eastAsia="zh-CN"/>
        </w:rPr>
        <w:t>77473</w:t>
      </w:r>
    </w:p>
    <w:p w14:paraId="7A13AA45">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lang w:val="en-US" w:eastAsia="zh-CN"/>
        </w:rPr>
      </w:pPr>
      <w:r>
        <w:rPr>
          <w:rFonts w:hint="eastAsia" w:ascii="黑体" w:hAnsi="黑体" w:eastAsia="黑体"/>
          <w:b w:val="0"/>
          <w:bCs w:val="0"/>
          <w:sz w:val="28"/>
          <w:szCs w:val="28"/>
          <w:highlight w:val="none"/>
          <w:u w:val="none"/>
        </w:rPr>
        <w:t>三、</w:t>
      </w:r>
      <w:r>
        <w:rPr>
          <w:rFonts w:ascii="黑体" w:hAnsi="黑体" w:eastAsia="黑体"/>
          <w:b w:val="0"/>
          <w:bCs w:val="0"/>
          <w:sz w:val="28"/>
          <w:szCs w:val="28"/>
          <w:highlight w:val="none"/>
          <w:u w:val="none"/>
        </w:rPr>
        <w:t>其他</w:t>
      </w:r>
      <w:r>
        <w:rPr>
          <w:rFonts w:hint="eastAsia" w:ascii="黑体" w:hAnsi="黑体" w:eastAsia="黑体"/>
          <w:b w:val="0"/>
          <w:bCs w:val="0"/>
          <w:sz w:val="28"/>
          <w:szCs w:val="28"/>
          <w:highlight w:val="none"/>
          <w:u w:val="none"/>
        </w:rPr>
        <w:t>补充事宜：</w:t>
      </w:r>
      <w:r>
        <w:rPr>
          <w:rFonts w:hint="eastAsia" w:ascii="仿宋_GB2312" w:hAnsi="仿宋_GB2312" w:eastAsia="仿宋_GB2312" w:cs="仿宋_GB2312"/>
          <w:b w:val="0"/>
          <w:bCs w:val="0"/>
          <w:sz w:val="32"/>
          <w:szCs w:val="32"/>
          <w:highlight w:val="none"/>
          <w:u w:val="none"/>
          <w:lang w:eastAsia="zh-CN"/>
        </w:rPr>
        <w:t>无</w:t>
      </w:r>
    </w:p>
    <w:p w14:paraId="43F24EF9">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rPr>
        <w:t>四</w:t>
      </w:r>
      <w:r>
        <w:rPr>
          <w:rFonts w:ascii="黑体" w:hAnsi="黑体" w:eastAsia="黑体"/>
          <w:b w:val="0"/>
          <w:bCs w:val="0"/>
          <w:sz w:val="28"/>
          <w:szCs w:val="28"/>
          <w:highlight w:val="none"/>
          <w:u w:val="none"/>
        </w:rPr>
        <w:t>、</w:t>
      </w:r>
      <w:r>
        <w:rPr>
          <w:rFonts w:hint="eastAsia" w:ascii="黑体" w:hAnsi="黑体" w:eastAsia="黑体"/>
          <w:b w:val="0"/>
          <w:bCs w:val="0"/>
          <w:sz w:val="28"/>
          <w:szCs w:val="28"/>
          <w:highlight w:val="none"/>
          <w:u w:val="none"/>
          <w:lang w:eastAsia="zh-CN"/>
        </w:rPr>
        <w:t>采购方</w:t>
      </w:r>
      <w:r>
        <w:rPr>
          <w:rFonts w:hint="eastAsia" w:ascii="黑体" w:hAnsi="黑体" w:eastAsia="黑体"/>
          <w:b w:val="0"/>
          <w:bCs w:val="0"/>
          <w:sz w:val="28"/>
          <w:szCs w:val="28"/>
          <w:highlight w:val="none"/>
          <w:u w:val="none"/>
        </w:rPr>
        <w:t>联系方式</w:t>
      </w:r>
    </w:p>
    <w:p w14:paraId="5EBAF93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pacing w:val="-6"/>
          <w:sz w:val="32"/>
          <w:szCs w:val="32"/>
          <w:highlight w:val="none"/>
          <w:u w:val="none"/>
          <w:lang w:val="en-US" w:eastAsia="zh-CN"/>
        </w:rPr>
      </w:pPr>
      <w:r>
        <w:rPr>
          <w:rFonts w:hint="eastAsia" w:ascii="仿宋_GB2312" w:hAnsi="仿宋_GB2312" w:eastAsia="仿宋_GB2312" w:cs="仿宋_GB2312"/>
          <w:b w:val="0"/>
          <w:bCs w:val="0"/>
          <w:sz w:val="32"/>
          <w:szCs w:val="32"/>
          <w:highlight w:val="none"/>
          <w:u w:val="none"/>
        </w:rPr>
        <w:t>联系</w:t>
      </w:r>
      <w:r>
        <w:rPr>
          <w:rFonts w:hint="eastAsia" w:ascii="仿宋_GB2312" w:hAnsi="仿宋_GB2312" w:eastAsia="仿宋_GB2312" w:cs="仿宋_GB2312"/>
          <w:b w:val="0"/>
          <w:bCs w:val="0"/>
          <w:sz w:val="32"/>
          <w:szCs w:val="32"/>
          <w:highlight w:val="none"/>
          <w:u w:val="none"/>
          <w:lang w:eastAsia="zh-CN"/>
        </w:rPr>
        <w:t>地址：</w:t>
      </w:r>
      <w:r>
        <w:rPr>
          <w:rFonts w:hint="eastAsia" w:ascii="仿宋_GB2312" w:hAnsi="仿宋_GB2312" w:eastAsia="仿宋_GB2312" w:cs="仿宋_GB2312"/>
          <w:b w:val="0"/>
          <w:bCs w:val="0"/>
          <w:spacing w:val="-6"/>
          <w:sz w:val="32"/>
          <w:szCs w:val="32"/>
          <w:highlight w:val="none"/>
          <w:u w:val="none"/>
          <w:lang w:eastAsia="zh-CN"/>
        </w:rPr>
        <w:t>南宁市青秀区桃源路</w:t>
      </w:r>
      <w:r>
        <w:rPr>
          <w:rFonts w:hint="eastAsia" w:ascii="仿宋_GB2312" w:hAnsi="仿宋_GB2312" w:eastAsia="仿宋_GB2312" w:cs="仿宋_GB2312"/>
          <w:b w:val="0"/>
          <w:bCs w:val="0"/>
          <w:spacing w:val="-6"/>
          <w:sz w:val="32"/>
          <w:szCs w:val="32"/>
          <w:highlight w:val="none"/>
          <w:u w:val="none"/>
          <w:lang w:val="en-US" w:eastAsia="zh-CN"/>
        </w:rPr>
        <w:t>35号</w:t>
      </w:r>
    </w:p>
    <w:p w14:paraId="59F37408">
      <w:pPr>
        <w:keepNext w:val="0"/>
        <w:keepLines w:val="0"/>
        <w:pageBreakBefore w:val="0"/>
        <w:widowControl w:val="0"/>
        <w:kinsoku/>
        <w:wordWrap/>
        <w:overflowPunct/>
        <w:topLinePunct w:val="0"/>
        <w:autoSpaceDE/>
        <w:autoSpaceDN/>
        <w:bidi w:val="0"/>
        <w:adjustRightInd/>
        <w:snapToGrid/>
        <w:spacing w:line="560" w:lineRule="exact"/>
        <w:ind w:firstLine="2156" w:firstLineChars="700"/>
        <w:textAlignment w:val="auto"/>
      </w:pPr>
      <w:r>
        <w:rPr>
          <w:rFonts w:hint="eastAsia" w:ascii="仿宋_GB2312" w:hAnsi="仿宋_GB2312" w:eastAsia="仿宋_GB2312" w:cs="仿宋_GB2312"/>
          <w:b w:val="0"/>
          <w:bCs w:val="0"/>
          <w:spacing w:val="-6"/>
          <w:sz w:val="32"/>
          <w:szCs w:val="32"/>
          <w:highlight w:val="none"/>
          <w:u w:val="none"/>
          <w:lang w:eastAsia="zh-CN"/>
        </w:rPr>
        <w:t>自治区中医药局</w:t>
      </w:r>
      <w:r>
        <w:rPr>
          <w:rFonts w:hint="eastAsia" w:ascii="仿宋_GB2312" w:hAnsi="仿宋_GB2312" w:eastAsia="仿宋_GB2312" w:cs="仿宋_GB2312"/>
          <w:b w:val="0"/>
          <w:bCs w:val="0"/>
          <w:spacing w:val="-6"/>
          <w:sz w:val="32"/>
          <w:szCs w:val="32"/>
          <w:highlight w:val="none"/>
          <w:u w:val="none"/>
          <w:lang w:val="en-US" w:eastAsia="zh-Hans"/>
        </w:rPr>
        <w:t>规划产业</w:t>
      </w:r>
      <w:r>
        <w:rPr>
          <w:rFonts w:hint="eastAsia" w:ascii="仿宋_GB2312" w:hAnsi="仿宋_GB2312" w:eastAsia="仿宋_GB2312" w:cs="仿宋_GB2312"/>
          <w:b w:val="0"/>
          <w:bCs w:val="0"/>
          <w:spacing w:val="-6"/>
          <w:sz w:val="32"/>
          <w:szCs w:val="32"/>
          <w:highlight w:val="none"/>
          <w:u w:val="none"/>
          <w:lang w:eastAsia="zh-CN"/>
        </w:rPr>
        <w:t>处</w:t>
      </w:r>
    </w:p>
    <w:p w14:paraId="54C9B96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lang w:val="en-US" w:eastAsia="zh-CN"/>
        </w:rPr>
        <w:t>联系人</w:t>
      </w:r>
      <w:r>
        <w:rPr>
          <w:rFonts w:hint="eastAsia" w:ascii="仿宋_GB2312" w:hAnsi="仿宋_GB2312" w:eastAsia="仿宋_GB2312" w:cs="仿宋_GB2312"/>
          <w:b w:val="0"/>
          <w:bCs w:val="0"/>
          <w:sz w:val="32"/>
          <w:szCs w:val="32"/>
          <w:highlight w:val="none"/>
          <w:u w:val="none"/>
          <w:lang w:val="en-US" w:eastAsia="zh-Hans"/>
        </w:rPr>
        <w:t>及联系电话</w:t>
      </w:r>
      <w:r>
        <w:rPr>
          <w:rFonts w:hint="eastAsia" w:ascii="仿宋_GB2312" w:hAnsi="仿宋_GB2312" w:eastAsia="仿宋_GB2312" w:cs="仿宋_GB2312"/>
          <w:b w:val="0"/>
          <w:bCs w:val="0"/>
          <w:sz w:val="32"/>
          <w:szCs w:val="32"/>
          <w:highlight w:val="none"/>
          <w:u w:val="none"/>
          <w:lang w:val="en-US" w:eastAsia="zh-CN"/>
        </w:rPr>
        <w:t>：孔祥珂</w:t>
      </w:r>
      <w:r>
        <w:rPr>
          <w:rFonts w:hint="eastAsia" w:ascii="仿宋_GB2312" w:hAnsi="仿宋_GB2312" w:eastAsia="仿宋_GB2312" w:cs="仿宋_GB2312"/>
          <w:b w:val="0"/>
          <w:bCs w:val="0"/>
          <w:sz w:val="32"/>
          <w:szCs w:val="32"/>
          <w:highlight w:val="none"/>
          <w:u w:val="none"/>
        </w:rPr>
        <w:t xml:space="preserve"> </w:t>
      </w:r>
      <w:r>
        <w:rPr>
          <w:rFonts w:hint="eastAsia" w:ascii="仿宋_GB2312" w:hAnsi="仿宋_GB2312" w:eastAsia="仿宋_GB2312" w:cs="仿宋_GB2312"/>
          <w:b w:val="0"/>
          <w:bCs w:val="0"/>
          <w:sz w:val="32"/>
          <w:szCs w:val="32"/>
          <w:highlight w:val="none"/>
          <w:u w:val="none"/>
          <w:lang w:val="en-US" w:eastAsia="zh-CN"/>
        </w:rPr>
        <w:t>0771-2</w:t>
      </w:r>
      <w:r>
        <w:rPr>
          <w:rFonts w:hint="default" w:ascii="仿宋_GB2312" w:hAnsi="仿宋_GB2312" w:eastAsia="仿宋_GB2312" w:cs="仿宋_GB2312"/>
          <w:b w:val="0"/>
          <w:bCs w:val="0"/>
          <w:sz w:val="32"/>
          <w:szCs w:val="32"/>
          <w:highlight w:val="none"/>
          <w:u w:val="none"/>
          <w:lang w:eastAsia="zh-CN"/>
        </w:rPr>
        <w:t>448682</w:t>
      </w:r>
      <w:r>
        <w:rPr>
          <w:rFonts w:hint="eastAsia" w:ascii="仿宋_GB2312" w:hAnsi="仿宋_GB2312" w:eastAsia="仿宋_GB2312" w:cs="仿宋_GB2312"/>
          <w:b w:val="0"/>
          <w:bCs w:val="0"/>
          <w:sz w:val="32"/>
          <w:szCs w:val="32"/>
          <w:highlight w:val="none"/>
          <w:u w:val="none"/>
        </w:rPr>
        <w:t xml:space="preserve">          </w:t>
      </w:r>
    </w:p>
    <w:p w14:paraId="71BFF562">
      <w:pPr>
        <w:pageBreakBefore w:val="0"/>
        <w:widowControl w:val="0"/>
        <w:kinsoku/>
        <w:wordWrap/>
        <w:overflowPunct/>
        <w:topLinePunct w:val="0"/>
        <w:bidi w:val="0"/>
        <w:snapToGrid/>
        <w:spacing w:line="560" w:lineRule="exact"/>
        <w:textAlignment w:val="auto"/>
        <w:rPr>
          <w:rFonts w:hint="eastAsia" w:ascii="仿宋_GB2312" w:hAnsi="仿宋_GB2312" w:eastAsia="仿宋_GB2312" w:cs="仿宋_GB2312"/>
          <w:b w:val="0"/>
          <w:bCs w:val="0"/>
          <w:sz w:val="32"/>
          <w:szCs w:val="32"/>
          <w:u w:val="none"/>
        </w:rPr>
      </w:pPr>
    </w:p>
    <w:p w14:paraId="18FF3085">
      <w:pPr>
        <w:pageBreakBefore w:val="0"/>
        <w:widowControl w:val="0"/>
        <w:kinsoku/>
        <w:wordWrap/>
        <w:overflowPunct/>
        <w:topLinePunct w:val="0"/>
        <w:bidi w:val="0"/>
        <w:snapToGrid/>
        <w:spacing w:line="560" w:lineRule="exact"/>
        <w:textAlignment w:val="auto"/>
        <w:rPr>
          <w:b w:val="0"/>
          <w:bCs w:val="0"/>
          <w:u w:val="none"/>
        </w:rPr>
      </w:pPr>
    </w:p>
    <w:sectPr>
      <w:pgSz w:w="11906" w:h="16838"/>
      <w:pgMar w:top="1701" w:right="1417" w:bottom="141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Nimbus Roman No9 L">
    <w:panose1 w:val="00000000000000000000"/>
    <w:charset w:val="00"/>
    <w:family w:val="auto"/>
    <w:pitch w:val="default"/>
    <w:sig w:usb0="00000000" w:usb1="00000000" w:usb2="00000000" w:usb3="00000000" w:csb0="0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802040204020203"/>
    <w:charset w:val="00"/>
    <w:family w:val="auto"/>
    <w:pitch w:val="default"/>
    <w:sig w:usb0="E10022FF" w:usb1="C000E47F" w:usb2="00000029" w:usb3="00000000" w:csb0="200001DF" w:csb1="2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FhZGM5MTg0YmI2M2I3ODE0YmY4ZTU5OWQ0ODVmODIifQ=="/>
  </w:docVars>
  <w:rsids>
    <w:rsidRoot w:val="00681A4D"/>
    <w:rsid w:val="000C53AD"/>
    <w:rsid w:val="003C5A39"/>
    <w:rsid w:val="00681A4D"/>
    <w:rsid w:val="00951E8A"/>
    <w:rsid w:val="00AB48DE"/>
    <w:rsid w:val="00C06DC6"/>
    <w:rsid w:val="00C42258"/>
    <w:rsid w:val="00CB10F8"/>
    <w:rsid w:val="051D2AD2"/>
    <w:rsid w:val="064222D0"/>
    <w:rsid w:val="09734E97"/>
    <w:rsid w:val="0D0D779C"/>
    <w:rsid w:val="17EC241A"/>
    <w:rsid w:val="1CB1038C"/>
    <w:rsid w:val="1D227B3D"/>
    <w:rsid w:val="1D527E04"/>
    <w:rsid w:val="21055BF7"/>
    <w:rsid w:val="22241FCA"/>
    <w:rsid w:val="23C45014"/>
    <w:rsid w:val="271A2F4B"/>
    <w:rsid w:val="28795BCE"/>
    <w:rsid w:val="2A3644B8"/>
    <w:rsid w:val="2C2220D9"/>
    <w:rsid w:val="2C900E2A"/>
    <w:rsid w:val="2E953036"/>
    <w:rsid w:val="31ED3189"/>
    <w:rsid w:val="399460E1"/>
    <w:rsid w:val="3F261699"/>
    <w:rsid w:val="3FDF1615"/>
    <w:rsid w:val="41526A7E"/>
    <w:rsid w:val="425061B2"/>
    <w:rsid w:val="43016A94"/>
    <w:rsid w:val="45491CA2"/>
    <w:rsid w:val="4AAE41D2"/>
    <w:rsid w:val="4C6F77DC"/>
    <w:rsid w:val="4FB53CF9"/>
    <w:rsid w:val="52112AD0"/>
    <w:rsid w:val="534544E2"/>
    <w:rsid w:val="594F3C5E"/>
    <w:rsid w:val="61647454"/>
    <w:rsid w:val="64C52322"/>
    <w:rsid w:val="68395F98"/>
    <w:rsid w:val="68E63997"/>
    <w:rsid w:val="69E5856A"/>
    <w:rsid w:val="73D04534"/>
    <w:rsid w:val="74A72748"/>
    <w:rsid w:val="78782AFC"/>
    <w:rsid w:val="78C0027C"/>
    <w:rsid w:val="F4BF50C5"/>
    <w:rsid w:val="FB8491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12"/>
    <w:qFormat/>
    <w:uiPriority w:val="9"/>
    <w:pPr>
      <w:keepNext/>
      <w:keepLines/>
      <w:spacing w:before="340" w:after="330" w:line="578" w:lineRule="auto"/>
      <w:outlineLvl w:val="0"/>
    </w:pPr>
    <w:rPr>
      <w:b/>
      <w:bCs/>
      <w:kern w:val="44"/>
      <w:sz w:val="44"/>
      <w:szCs w:val="44"/>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Arial" w:hAnsi="Arial"/>
      <w:b/>
    </w:rPr>
  </w:style>
  <w:style w:type="paragraph" w:styleId="4">
    <w:name w:val="footer"/>
    <w:basedOn w:val="1"/>
    <w:link w:val="15"/>
    <w:unhideWhenUsed/>
    <w:qFormat/>
    <w:uiPriority w:val="99"/>
    <w:pPr>
      <w:tabs>
        <w:tab w:val="center" w:pos="4153"/>
        <w:tab w:val="right" w:pos="8306"/>
      </w:tabs>
      <w:snapToGrid w:val="0"/>
      <w:jc w:val="left"/>
    </w:pPr>
    <w:rPr>
      <w:sz w:val="18"/>
      <w:szCs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8">
    <w:name w:val="Table Grid"/>
    <w:basedOn w:val="7"/>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Emphasis"/>
    <w:basedOn w:val="9"/>
    <w:qFormat/>
    <w:uiPriority w:val="20"/>
    <w:rPr>
      <w:i/>
    </w:rPr>
  </w:style>
  <w:style w:type="character" w:styleId="11">
    <w:name w:val="HTML Sample"/>
    <w:basedOn w:val="9"/>
    <w:semiHidden/>
    <w:unhideWhenUsed/>
    <w:qFormat/>
    <w:uiPriority w:val="99"/>
    <w:rPr>
      <w:rFonts w:ascii="Courier New" w:hAnsi="Courier New"/>
    </w:rPr>
  </w:style>
  <w:style w:type="character" w:customStyle="1" w:styleId="12">
    <w:name w:val="标题 1 字符"/>
    <w:basedOn w:val="9"/>
    <w:link w:val="3"/>
    <w:qFormat/>
    <w:uiPriority w:val="9"/>
    <w:rPr>
      <w:rFonts w:ascii="Times New Roman" w:hAnsi="Times New Roman" w:eastAsia="宋体" w:cs="Times New Roman"/>
      <w:b/>
      <w:bCs/>
      <w:kern w:val="44"/>
      <w:sz w:val="44"/>
      <w:szCs w:val="44"/>
    </w:rPr>
  </w:style>
  <w:style w:type="paragraph" w:styleId="13">
    <w:name w:val="List Paragraph"/>
    <w:basedOn w:val="1"/>
    <w:qFormat/>
    <w:uiPriority w:val="34"/>
    <w:pPr>
      <w:ind w:firstLine="420" w:firstLineChars="200"/>
    </w:pPr>
  </w:style>
  <w:style w:type="character" w:customStyle="1" w:styleId="14">
    <w:name w:val="页眉 字符"/>
    <w:basedOn w:val="9"/>
    <w:link w:val="5"/>
    <w:qFormat/>
    <w:uiPriority w:val="99"/>
    <w:rPr>
      <w:rFonts w:ascii="Times New Roman" w:hAnsi="Times New Roman" w:eastAsia="宋体" w:cs="Times New Roman"/>
      <w:sz w:val="18"/>
      <w:szCs w:val="18"/>
    </w:rPr>
  </w:style>
  <w:style w:type="character" w:customStyle="1" w:styleId="15">
    <w:name w:val="页脚 字符"/>
    <w:basedOn w:val="9"/>
    <w:link w:val="4"/>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601</Words>
  <Characters>646</Characters>
  <Lines>3</Lines>
  <Paragraphs>1</Paragraphs>
  <TotalTime>0</TotalTime>
  <ScaleCrop>false</ScaleCrop>
  <LinksUpToDate>false</LinksUpToDate>
  <CharactersWithSpaces>665</CharactersWithSpaces>
  <Application>WPS Office_12.8.2.1119_F1E327BC-269C-435d-A152-05C5408002CA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2020-06-20T09:06:00Z</dcterms:created>
  <dc:creator>王 春强</dc:creator>
  <cp:lastModifiedBy>暴躁的小谭</cp:lastModifiedBy>
  <cp:lastPrinted>2024-02-06T23:13:00Z</cp:lastPrinted>
  <dcterms:modified xsi:type="dcterms:W3CDTF">2025-05-08T16:38:43Z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ICV">
    <vt:lpwstr>4BC10E30B137847BDD751D64E24E2714_43</vt:lpwstr>
  </property>
</Properties>
</file>