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18FE3E">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left"/>
        <w:textAlignment w:val="auto"/>
        <w:rPr>
          <w:rFonts w:hint="default" w:ascii="黑体" w:hAnsi="黑体" w:eastAsia="黑体" w:cs="黑体"/>
          <w:b w:val="0"/>
          <w:bCs w:val="0"/>
          <w:kern w:val="2"/>
          <w:sz w:val="32"/>
          <w:szCs w:val="32"/>
          <w:u w:val="none"/>
          <w:lang w:val="en-US" w:eastAsia="zh-CN" w:bidi="ar-SA"/>
        </w:rPr>
      </w:pPr>
      <w:bookmarkStart w:id="0" w:name="_Toc28359042"/>
      <w:bookmarkStart w:id="1" w:name="_Toc35393832"/>
      <w:r>
        <w:rPr>
          <w:rFonts w:hint="eastAsia" w:ascii="黑体" w:hAnsi="黑体" w:eastAsia="黑体" w:cs="黑体"/>
          <w:b w:val="0"/>
          <w:bCs w:val="0"/>
          <w:kern w:val="2"/>
          <w:sz w:val="32"/>
          <w:szCs w:val="32"/>
          <w:u w:val="none"/>
          <w:lang w:val="en-US" w:eastAsia="zh-CN" w:bidi="ar-SA"/>
        </w:rPr>
        <w:t>附件2</w:t>
      </w:r>
    </w:p>
    <w:p w14:paraId="069CDFD2">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lang w:val="zh-CN" w:eastAsia="zh-CN"/>
        </w:rPr>
      </w:pPr>
    </w:p>
    <w:p w14:paraId="74C23B4E">
      <w:pPr>
        <w:keepNext w:val="0"/>
        <w:keepLines w:val="0"/>
        <w:pageBreakBefore w:val="0"/>
        <w:widowControl w:val="0"/>
        <w:kinsoku/>
        <w:wordWrap/>
        <w:overflowPunct/>
        <w:topLinePunct w:val="0"/>
        <w:autoSpaceDE/>
        <w:autoSpaceDN/>
        <w:bidi w:val="0"/>
        <w:adjustRightInd/>
        <w:spacing w:line="560" w:lineRule="exact"/>
        <w:ind w:right="0"/>
        <w:jc w:val="center"/>
        <w:textAlignment w:val="auto"/>
        <w:rPr>
          <w:rFonts w:hint="eastAsia" w:ascii="方正小标宋简体" w:hAnsi="方正小标宋简体" w:eastAsia="方正小标宋简体" w:cs="方正小标宋简体"/>
          <w:b w:val="0"/>
          <w:bCs w:val="0"/>
          <w:sz w:val="44"/>
          <w:szCs w:val="44"/>
          <w:u w:val="none"/>
          <w:lang w:val="en-US" w:eastAsia="zh-CN"/>
        </w:rPr>
      </w:pPr>
      <w:r>
        <w:rPr>
          <w:rFonts w:hint="eastAsia" w:ascii="方正小标宋简体" w:hAnsi="方正小标宋简体" w:eastAsia="方正小标宋简体" w:cs="方正小标宋简体"/>
          <w:b w:val="0"/>
          <w:bCs w:val="0"/>
          <w:sz w:val="44"/>
          <w:szCs w:val="44"/>
          <w:u w:val="none"/>
          <w:lang w:val="en-US" w:eastAsia="zh-CN"/>
        </w:rPr>
        <w:t>中医药壮瑶医药产业成果展览展示建设与</w:t>
      </w:r>
    </w:p>
    <w:p w14:paraId="3E0BC8B2">
      <w:pPr>
        <w:keepNext w:val="0"/>
        <w:keepLines w:val="0"/>
        <w:pageBreakBefore w:val="0"/>
        <w:widowControl w:val="0"/>
        <w:kinsoku/>
        <w:wordWrap/>
        <w:overflowPunct/>
        <w:topLinePunct w:val="0"/>
        <w:autoSpaceDE/>
        <w:autoSpaceDN/>
        <w:bidi w:val="0"/>
        <w:adjustRightInd/>
        <w:spacing w:line="560" w:lineRule="exact"/>
        <w:ind w:right="0"/>
        <w:jc w:val="center"/>
        <w:textAlignment w:val="auto"/>
        <w:rPr>
          <w:rFonts w:hint="eastAsia" w:ascii="方正小标宋简体" w:hAnsi="方正小标宋简体" w:eastAsia="方正小标宋简体" w:cs="方正小标宋简体"/>
          <w:b w:val="0"/>
          <w:bCs w:val="0"/>
          <w:sz w:val="44"/>
          <w:szCs w:val="44"/>
          <w:u w:val="none"/>
        </w:rPr>
      </w:pPr>
      <w:r>
        <w:rPr>
          <w:rFonts w:hint="eastAsia" w:ascii="方正小标宋简体" w:hAnsi="方正小标宋简体" w:eastAsia="方正小标宋简体" w:cs="方正小标宋简体"/>
          <w:b w:val="0"/>
          <w:bCs w:val="0"/>
          <w:sz w:val="44"/>
          <w:szCs w:val="44"/>
          <w:u w:val="none"/>
          <w:lang w:val="en-US" w:eastAsia="zh-CN"/>
        </w:rPr>
        <w:t>宣传推广项目</w:t>
      </w:r>
      <w:r>
        <w:rPr>
          <w:rFonts w:hint="eastAsia" w:ascii="方正小标宋简体" w:hAnsi="方正小标宋简体" w:eastAsia="方正小标宋简体" w:cs="方正小标宋简体"/>
          <w:b w:val="0"/>
          <w:bCs w:val="0"/>
          <w:sz w:val="44"/>
          <w:szCs w:val="44"/>
          <w:u w:val="none"/>
        </w:rPr>
        <w:t>采购</w:t>
      </w:r>
      <w:bookmarkEnd w:id="0"/>
      <w:bookmarkEnd w:id="1"/>
      <w:r>
        <w:rPr>
          <w:rFonts w:hint="eastAsia" w:ascii="方正小标宋简体" w:hAnsi="方正小标宋简体" w:eastAsia="方正小标宋简体" w:cs="方正小标宋简体"/>
          <w:b w:val="0"/>
          <w:bCs w:val="0"/>
          <w:sz w:val="44"/>
          <w:szCs w:val="44"/>
          <w:u w:val="none"/>
        </w:rPr>
        <w:t>信息</w:t>
      </w:r>
    </w:p>
    <w:p w14:paraId="430DA01F">
      <w:pPr>
        <w:pStyle w:val="2"/>
        <w:rPr>
          <w:rFonts w:hint="eastAsia"/>
        </w:rPr>
      </w:pPr>
    </w:p>
    <w:p w14:paraId="4DE567FE">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ind w:firstLine="560" w:firstLineChars="200"/>
        <w:jc w:val="left"/>
        <w:textAlignment w:val="auto"/>
        <w:rPr>
          <w:rFonts w:ascii="黑体" w:hAnsi="黑体" w:eastAsia="黑体"/>
          <w:b w:val="0"/>
          <w:bCs w:val="0"/>
          <w:sz w:val="28"/>
          <w:szCs w:val="28"/>
          <w:u w:val="none"/>
        </w:rPr>
      </w:pPr>
      <w:r>
        <w:rPr>
          <w:rFonts w:hint="eastAsia" w:ascii="黑体" w:hAnsi="黑体" w:eastAsia="黑体"/>
          <w:b w:val="0"/>
          <w:bCs w:val="0"/>
          <w:sz w:val="28"/>
          <w:szCs w:val="28"/>
          <w:u w:val="none"/>
        </w:rPr>
        <w:t>一、项目信息</w:t>
      </w:r>
    </w:p>
    <w:p w14:paraId="32A157B6">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lang w:eastAsia="zh-CN"/>
        </w:rPr>
        <w:t>采</w:t>
      </w:r>
      <w:r>
        <w:rPr>
          <w:rFonts w:hint="eastAsia" w:ascii="仿宋_GB2312" w:hAnsi="仿宋_GB2312" w:eastAsia="仿宋_GB2312" w:cs="仿宋_GB2312"/>
          <w:b w:val="0"/>
          <w:bCs w:val="0"/>
          <w:sz w:val="32"/>
          <w:szCs w:val="32"/>
          <w:u w:val="none"/>
        </w:rPr>
        <w:t>购单位：</w:t>
      </w:r>
      <w:r>
        <w:rPr>
          <w:rFonts w:hint="eastAsia" w:ascii="仿宋_GB2312" w:hAnsi="仿宋_GB2312" w:eastAsia="仿宋_GB2312" w:cs="仿宋_GB2312"/>
          <w:b w:val="0"/>
          <w:bCs w:val="0"/>
          <w:sz w:val="32"/>
          <w:szCs w:val="32"/>
          <w:u w:val="none"/>
          <w:lang w:eastAsia="zh-CN"/>
        </w:rPr>
        <w:t>广西壮族自治区中医药管理局</w:t>
      </w:r>
      <w:r>
        <w:rPr>
          <w:rFonts w:hint="eastAsia" w:ascii="仿宋_GB2312" w:hAnsi="仿宋_GB2312" w:eastAsia="仿宋_GB2312" w:cs="仿宋_GB2312"/>
          <w:b w:val="0"/>
          <w:bCs w:val="0"/>
          <w:sz w:val="32"/>
          <w:szCs w:val="32"/>
          <w:u w:val="none"/>
        </w:rPr>
        <w:t>　</w:t>
      </w:r>
    </w:p>
    <w:p w14:paraId="0ECED762">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lang w:val="zh-CN" w:eastAsia="zh-CN"/>
        </w:rPr>
      </w:pPr>
      <w:r>
        <w:rPr>
          <w:rFonts w:hint="eastAsia" w:ascii="仿宋_GB2312" w:hAnsi="仿宋_GB2312" w:eastAsia="仿宋_GB2312" w:cs="仿宋_GB2312"/>
          <w:b w:val="0"/>
          <w:bCs w:val="0"/>
          <w:sz w:val="32"/>
          <w:szCs w:val="32"/>
          <w:u w:val="none"/>
        </w:rPr>
        <w:t>项目名称：</w:t>
      </w:r>
      <w:r>
        <w:rPr>
          <w:rFonts w:hint="eastAsia" w:ascii="仿宋_GB2312" w:hAnsi="仿宋_GB2312" w:eastAsia="仿宋_GB2312" w:cs="仿宋_GB2312"/>
          <w:color w:val="000000"/>
          <w:sz w:val="32"/>
          <w:szCs w:val="32"/>
          <w:lang w:val="en-US" w:eastAsia="zh-Hans"/>
        </w:rPr>
        <w:t>中医药壮瑶医药产业成果展览展示建设与宣传推广</w:t>
      </w:r>
      <w:r>
        <w:rPr>
          <w:rFonts w:hint="eastAsia" w:ascii="仿宋_GB2312" w:hAnsi="仿宋_GB2312" w:eastAsia="仿宋_GB2312" w:cs="仿宋_GB2312"/>
          <w:b w:val="0"/>
          <w:bCs w:val="0"/>
          <w:sz w:val="32"/>
          <w:szCs w:val="32"/>
          <w:u w:val="none"/>
          <w:lang w:val="en-US" w:eastAsia="zh-Hans"/>
        </w:rPr>
        <w:t>项目</w:t>
      </w:r>
    </w:p>
    <w:p w14:paraId="4A9921D0">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lang w:eastAsia="zh-CN"/>
        </w:rPr>
      </w:pPr>
      <w:r>
        <w:rPr>
          <w:rFonts w:hint="eastAsia" w:ascii="仿宋_GB2312" w:hAnsi="仿宋_GB2312" w:eastAsia="仿宋_GB2312" w:cs="仿宋_GB2312"/>
          <w:b w:val="0"/>
          <w:bCs w:val="0"/>
          <w:sz w:val="32"/>
          <w:szCs w:val="32"/>
          <w:u w:val="none"/>
        </w:rPr>
        <w:t>拟采购的货物或服务的说明：项目主要用于完成中医药壮瑶医药产业发展及提升建设，组织</w:t>
      </w:r>
      <w:r>
        <w:rPr>
          <w:rFonts w:hint="eastAsia" w:ascii="仿宋_GB2312" w:hAnsi="仿宋_GB2312" w:eastAsia="仿宋_GB2312" w:cs="仿宋_GB2312"/>
          <w:b w:val="0"/>
          <w:bCs w:val="0"/>
          <w:sz w:val="32"/>
          <w:szCs w:val="32"/>
          <w:u w:val="none"/>
          <w:lang w:eastAsia="zh-CN"/>
        </w:rPr>
        <w:t>科研院校和</w:t>
      </w:r>
      <w:r>
        <w:rPr>
          <w:rFonts w:hint="eastAsia" w:ascii="仿宋_GB2312" w:hAnsi="仿宋_GB2312" w:eastAsia="仿宋_GB2312" w:cs="仿宋_GB2312"/>
          <w:b w:val="0"/>
          <w:bCs w:val="0"/>
          <w:sz w:val="32"/>
          <w:szCs w:val="32"/>
          <w:u w:val="none"/>
        </w:rPr>
        <w:t>示范基地参加区内外中医药产业成果展览展示推广，梳理成果，推动中医药壮瑶医药全产业链招商，助推广西中医药壮瑶医药产业发展。用于</w:t>
      </w:r>
      <w:r>
        <w:rPr>
          <w:rFonts w:hint="eastAsia" w:ascii="仿宋_GB2312" w:hAnsi="仿宋_GB2312" w:eastAsia="仿宋_GB2312" w:cs="仿宋_GB2312"/>
          <w:b w:val="0"/>
          <w:bCs w:val="0"/>
          <w:sz w:val="32"/>
          <w:szCs w:val="32"/>
          <w:u w:val="none"/>
          <w:lang w:eastAsia="zh-CN"/>
        </w:rPr>
        <w:t>开展中医药</w:t>
      </w:r>
      <w:r>
        <w:rPr>
          <w:rFonts w:hint="eastAsia" w:ascii="仿宋_GB2312" w:hAnsi="仿宋_GB2312" w:eastAsia="仿宋_GB2312" w:cs="仿宋_GB2312"/>
          <w:b w:val="0"/>
          <w:bCs w:val="0"/>
          <w:sz w:val="32"/>
          <w:szCs w:val="32"/>
          <w:u w:val="none"/>
        </w:rPr>
        <w:t>产业展览展示</w:t>
      </w:r>
      <w:r>
        <w:rPr>
          <w:rFonts w:hint="eastAsia" w:ascii="仿宋_GB2312" w:hAnsi="仿宋_GB2312" w:eastAsia="仿宋_GB2312" w:cs="仿宋_GB2312"/>
          <w:b w:val="0"/>
          <w:bCs w:val="0"/>
          <w:sz w:val="32"/>
          <w:szCs w:val="32"/>
          <w:u w:val="none"/>
          <w:lang w:val="en-US" w:eastAsia="zh-CN"/>
        </w:rPr>
        <w:t>，进行</w:t>
      </w:r>
      <w:r>
        <w:rPr>
          <w:rFonts w:hint="eastAsia" w:ascii="仿宋_GB2312" w:hAnsi="仿宋_GB2312" w:eastAsia="仿宋_GB2312" w:cs="仿宋_GB2312"/>
          <w:b w:val="0"/>
          <w:bCs w:val="0"/>
          <w:sz w:val="32"/>
          <w:szCs w:val="32"/>
          <w:u w:val="none"/>
        </w:rPr>
        <w:t>材料</w:t>
      </w:r>
      <w:r>
        <w:rPr>
          <w:rFonts w:hint="eastAsia" w:ascii="仿宋_GB2312" w:hAnsi="仿宋_GB2312" w:eastAsia="仿宋_GB2312" w:cs="仿宋_GB2312"/>
          <w:b w:val="0"/>
          <w:bCs w:val="0"/>
          <w:sz w:val="32"/>
          <w:szCs w:val="32"/>
          <w:u w:val="none"/>
          <w:lang w:eastAsia="zh-CN"/>
        </w:rPr>
        <w:t>汇编</w:t>
      </w:r>
      <w:r>
        <w:rPr>
          <w:rFonts w:hint="eastAsia" w:ascii="仿宋_GB2312" w:hAnsi="仿宋_GB2312" w:eastAsia="仿宋_GB2312" w:cs="仿宋_GB2312"/>
          <w:b w:val="0"/>
          <w:bCs w:val="0"/>
          <w:sz w:val="32"/>
          <w:szCs w:val="32"/>
          <w:u w:val="none"/>
        </w:rPr>
        <w:t>、论证</w:t>
      </w:r>
      <w:r>
        <w:rPr>
          <w:rFonts w:hint="eastAsia" w:ascii="仿宋_GB2312" w:hAnsi="仿宋_GB2312" w:eastAsia="仿宋_GB2312" w:cs="仿宋_GB2312"/>
          <w:b w:val="0"/>
          <w:bCs w:val="0"/>
          <w:sz w:val="32"/>
          <w:szCs w:val="32"/>
          <w:u w:val="none"/>
          <w:lang w:eastAsia="zh-CN"/>
        </w:rPr>
        <w:t>、</w:t>
      </w:r>
      <w:r>
        <w:rPr>
          <w:rFonts w:hint="eastAsia" w:ascii="仿宋_GB2312" w:hAnsi="仿宋_GB2312" w:eastAsia="仿宋_GB2312" w:cs="仿宋_GB2312"/>
          <w:b w:val="0"/>
          <w:bCs w:val="0"/>
          <w:sz w:val="32"/>
          <w:szCs w:val="32"/>
          <w:u w:val="none"/>
        </w:rPr>
        <w:t>中医药产业环境文化氛围宣传、人员培训、宣传推广、产业招商等</w:t>
      </w:r>
      <w:r>
        <w:rPr>
          <w:rFonts w:hint="eastAsia" w:ascii="仿宋_GB2312" w:hAnsi="仿宋_GB2312" w:eastAsia="仿宋_GB2312" w:cs="仿宋_GB2312"/>
          <w:b w:val="0"/>
          <w:bCs w:val="0"/>
          <w:sz w:val="32"/>
          <w:szCs w:val="32"/>
          <w:u w:val="none"/>
          <w:lang w:eastAsia="zh-CN"/>
        </w:rPr>
        <w:t>。</w:t>
      </w:r>
    </w:p>
    <w:p w14:paraId="1443F747">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kern w:val="2"/>
          <w:sz w:val="32"/>
          <w:szCs w:val="32"/>
          <w:u w:val="none"/>
          <w:lang w:val="en-US" w:eastAsia="zh-CN" w:bidi="ar-SA"/>
        </w:rPr>
      </w:pPr>
      <w:r>
        <w:rPr>
          <w:rFonts w:hint="eastAsia" w:ascii="仿宋_GB2312" w:hAnsi="仿宋_GB2312" w:eastAsia="仿宋_GB2312" w:cs="仿宋_GB2312"/>
          <w:b w:val="0"/>
          <w:bCs w:val="0"/>
          <w:kern w:val="2"/>
          <w:sz w:val="32"/>
          <w:szCs w:val="32"/>
          <w:u w:val="none"/>
          <w:lang w:val="en-US" w:eastAsia="zh-CN" w:bidi="ar-SA"/>
        </w:rPr>
        <w:t>项目最终产出：2024年组织示范基地完成区内外中医药产业成果展览展示推广3次以上，带动30家以上示范基地、企事业单位参加展览展示，</w:t>
      </w:r>
      <w:r>
        <w:rPr>
          <w:rFonts w:hint="eastAsia" w:ascii="仿宋_GB2312" w:hAnsi="仿宋_GB2312" w:eastAsia="仿宋_GB2312" w:cs="仿宋_GB2312"/>
          <w:b w:val="0"/>
          <w:bCs w:val="0"/>
          <w:kern w:val="2"/>
          <w:sz w:val="32"/>
          <w:szCs w:val="32"/>
          <w:highlight w:val="none"/>
          <w:u w:val="none"/>
          <w:lang w:val="en-US" w:eastAsia="zh-CN" w:bidi="ar-SA"/>
        </w:rPr>
        <w:t>推广特色中医药产品60种以上，形成意向签约金额500万元以上，</w:t>
      </w:r>
      <w:r>
        <w:rPr>
          <w:rFonts w:hint="eastAsia" w:ascii="仿宋_GB2312" w:hAnsi="仿宋_GB2312" w:eastAsia="仿宋_GB2312" w:cs="仿宋_GB2312"/>
          <w:b w:val="0"/>
          <w:bCs w:val="0"/>
          <w:kern w:val="2"/>
          <w:sz w:val="32"/>
          <w:szCs w:val="32"/>
          <w:u w:val="none"/>
          <w:lang w:val="en-US" w:eastAsia="zh-CN" w:bidi="ar-SA"/>
        </w:rPr>
        <w:t>会议服务委托项目单位梳理做好中医药产业工作调研，总结中医药工作经验、做好材料收集、资料编写工作，印发宣传画册1000册以上，推进产业招商并做好宣传工作，助推广西中医药壮瑶医药产业发展。</w:t>
      </w:r>
    </w:p>
    <w:p w14:paraId="23196371">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拟采购</w:t>
      </w:r>
      <w:r>
        <w:rPr>
          <w:rFonts w:hint="eastAsia" w:ascii="仿宋_GB2312" w:hAnsi="仿宋_GB2312" w:eastAsia="仿宋_GB2312" w:cs="仿宋_GB2312"/>
          <w:b w:val="0"/>
          <w:bCs w:val="0"/>
          <w:sz w:val="32"/>
          <w:szCs w:val="32"/>
          <w:u w:val="none"/>
          <w:lang w:eastAsia="zh-CN"/>
        </w:rPr>
        <w:t>的</w:t>
      </w:r>
      <w:r>
        <w:rPr>
          <w:rFonts w:hint="eastAsia" w:ascii="仿宋_GB2312" w:hAnsi="仿宋_GB2312" w:eastAsia="仿宋_GB2312" w:cs="仿宋_GB2312"/>
          <w:b w:val="0"/>
          <w:bCs w:val="0"/>
          <w:sz w:val="32"/>
          <w:szCs w:val="32"/>
          <w:u w:val="none"/>
        </w:rPr>
        <w:t>服务预算金额(元)：</w:t>
      </w:r>
      <w:r>
        <w:rPr>
          <w:rFonts w:hint="eastAsia" w:ascii="仿宋_GB2312" w:hAnsi="仿宋_GB2312" w:eastAsia="仿宋_GB2312" w:cs="仿宋_GB2312"/>
          <w:b w:val="0"/>
          <w:bCs w:val="0"/>
          <w:sz w:val="32"/>
          <w:szCs w:val="32"/>
          <w:u w:val="none"/>
          <w:lang w:val="en-US" w:eastAsia="zh-CN"/>
        </w:rPr>
        <w:t>72</w:t>
      </w:r>
      <w:r>
        <w:rPr>
          <w:rFonts w:hint="default" w:ascii="仿宋_GB2312" w:hAnsi="仿宋_GB2312" w:eastAsia="仿宋_GB2312" w:cs="仿宋_GB2312"/>
          <w:b w:val="0"/>
          <w:bCs w:val="0"/>
          <w:sz w:val="32"/>
          <w:szCs w:val="32"/>
          <w:u w:val="none"/>
          <w:lang w:eastAsia="zh-CN"/>
        </w:rPr>
        <w:t>0000</w:t>
      </w:r>
      <w:r>
        <w:rPr>
          <w:rFonts w:hint="eastAsia" w:ascii="仿宋_GB2312" w:hAnsi="仿宋_GB2312" w:eastAsia="仿宋_GB2312" w:cs="仿宋_GB2312"/>
          <w:b w:val="0"/>
          <w:bCs w:val="0"/>
          <w:sz w:val="32"/>
          <w:szCs w:val="32"/>
          <w:u w:val="none"/>
          <w:lang w:val="en-US" w:eastAsia="zh-CN"/>
        </w:rPr>
        <w:t>.00</w:t>
      </w:r>
      <w:r>
        <w:rPr>
          <w:rFonts w:hint="eastAsia" w:ascii="仿宋_GB2312" w:hAnsi="仿宋_GB2312" w:eastAsia="仿宋_GB2312" w:cs="仿宋_GB2312"/>
          <w:b w:val="0"/>
          <w:bCs w:val="0"/>
          <w:sz w:val="32"/>
          <w:szCs w:val="32"/>
          <w:u w:val="none"/>
        </w:rPr>
        <w:t>　</w:t>
      </w:r>
    </w:p>
    <w:p w14:paraId="23703923">
      <w:pPr>
        <w:keepNext w:val="0"/>
        <w:keepLines w:val="0"/>
        <w:pageBreakBefore w:val="0"/>
        <w:widowControl w:val="0"/>
        <w:kinsoku/>
        <w:wordWrap/>
        <w:overflowPunct/>
        <w:topLinePunct w:val="0"/>
        <w:autoSpaceDE/>
        <w:autoSpaceDN/>
        <w:bidi w:val="0"/>
        <w:adjustRightInd/>
        <w:spacing w:line="560" w:lineRule="exact"/>
        <w:ind w:right="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u w:val="none"/>
        </w:rPr>
        <w:t>采用单一来源采购方式的原因及说明：</w:t>
      </w:r>
      <w:r>
        <w:rPr>
          <w:rFonts w:hint="eastAsia" w:ascii="仿宋_GB2312" w:hAnsi="仿宋_GB2312" w:eastAsia="仿宋_GB2312" w:cs="仿宋_GB2312"/>
          <w:sz w:val="32"/>
          <w:szCs w:val="32"/>
          <w:lang w:val="en-US" w:eastAsia="zh-Hans"/>
        </w:rPr>
        <w:t>广西壮族自治区中医药研究院近年来承接中医药壮瑶医药研发平台、中医药传承与创新发展、中药壮瑶药制剂质量提升、中医药服务体系与能力建设、中药质量提升和产业高质量发展等自治区中医药壮瑶医药重要项目建设,在发挥我区中医药壮瑶医药特色优势,推动中医药产业环境文化宣传，促进中医药壮瑶医药产业发展成绩显著,积累了丰富的成果和经验。基于中医药壮瑶医药产业成果展览展示建设与宣传推广项目需求，研究院</w:t>
      </w:r>
      <w:r>
        <w:rPr>
          <w:rFonts w:hint="eastAsia" w:ascii="仿宋_GB2312" w:hAnsi="仿宋_GB2312" w:eastAsia="仿宋_GB2312" w:cs="仿宋_GB2312"/>
          <w:sz w:val="32"/>
          <w:szCs w:val="32"/>
        </w:rPr>
        <w:t>完全具备承接完成项目的能力</w:t>
      </w:r>
      <w:r>
        <w:rPr>
          <w:rFonts w:hint="eastAsia" w:ascii="仿宋_GB2312" w:hAnsi="仿宋_GB2312" w:eastAsia="仿宋_GB2312" w:cs="仿宋_GB2312"/>
          <w:sz w:val="32"/>
          <w:szCs w:val="32"/>
          <w:lang w:eastAsia="zh-CN"/>
        </w:rPr>
        <w:t>，且具有唯一性。</w:t>
      </w:r>
    </w:p>
    <w:p w14:paraId="1AD91B38">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color w:val="000000"/>
          <w:sz w:val="32"/>
          <w:szCs w:val="32"/>
          <w:lang w:eastAsia="zh-CN"/>
        </w:rPr>
        <w:t>因此，采用</w:t>
      </w:r>
      <w:r>
        <w:rPr>
          <w:rFonts w:hint="eastAsia" w:ascii="仿宋_GB2312" w:hAnsi="仿宋_GB2312" w:eastAsia="仿宋_GB2312" w:cs="仿宋_GB2312"/>
          <w:color w:val="000000"/>
          <w:sz w:val="32"/>
          <w:szCs w:val="32"/>
        </w:rPr>
        <w:t>单一来源采购方式</w:t>
      </w:r>
      <w:r>
        <w:rPr>
          <w:rFonts w:hint="eastAsia" w:ascii="仿宋_GB2312" w:hAnsi="仿宋_GB2312" w:eastAsia="仿宋_GB2312" w:cs="仿宋_GB2312"/>
          <w:color w:val="000000"/>
          <w:sz w:val="32"/>
          <w:szCs w:val="32"/>
          <w:lang w:eastAsia="zh-CN"/>
        </w:rPr>
        <w:t>采购</w:t>
      </w:r>
      <w:r>
        <w:rPr>
          <w:rFonts w:hint="eastAsia" w:ascii="仿宋_GB2312" w:hAnsi="仿宋_GB2312" w:eastAsia="仿宋_GB2312" w:cs="仿宋_GB2312"/>
          <w:color w:val="000000"/>
          <w:sz w:val="32"/>
          <w:szCs w:val="32"/>
          <w:lang w:val="en-US" w:eastAsia="zh-Hans"/>
        </w:rPr>
        <w:t>中医药壮瑶医药产业成果展览展示建设与宣传推广</w:t>
      </w:r>
      <w:r>
        <w:rPr>
          <w:rFonts w:hint="eastAsia" w:ascii="仿宋_GB2312" w:hAnsi="仿宋_GB2312" w:eastAsia="仿宋_GB2312" w:cs="仿宋_GB2312"/>
          <w:color w:val="000000"/>
          <w:sz w:val="32"/>
          <w:szCs w:val="32"/>
          <w:lang w:eastAsia="zh-CN"/>
        </w:rPr>
        <w:t>，并委托</w:t>
      </w:r>
      <w:r>
        <w:rPr>
          <w:rFonts w:hint="eastAsia" w:ascii="仿宋_GB2312" w:hAnsi="仿宋_GB2312" w:eastAsia="仿宋_GB2312" w:cs="仿宋_GB2312"/>
          <w:sz w:val="32"/>
          <w:szCs w:val="32"/>
          <w:lang w:val="en-US" w:eastAsia="zh-Hans"/>
        </w:rPr>
        <w:t>广西壮族自治区中医药研究院</w:t>
      </w:r>
      <w:r>
        <w:rPr>
          <w:rFonts w:hint="eastAsia" w:ascii="仿宋_GB2312" w:hAnsi="仿宋_GB2312" w:eastAsia="仿宋_GB2312" w:cs="仿宋_GB2312"/>
          <w:sz w:val="32"/>
          <w:szCs w:val="32"/>
          <w:lang w:val="en-US" w:eastAsia="zh-CN"/>
        </w:rPr>
        <w:t>为</w:t>
      </w:r>
      <w:r>
        <w:rPr>
          <w:rFonts w:hint="eastAsia" w:ascii="仿宋_GB2312" w:hAnsi="仿宋_GB2312" w:eastAsia="仿宋_GB2312" w:cs="仿宋_GB2312"/>
          <w:color w:val="000000"/>
          <w:sz w:val="32"/>
          <w:szCs w:val="32"/>
        </w:rPr>
        <w:t>承接</w:t>
      </w:r>
      <w:r>
        <w:rPr>
          <w:rFonts w:hint="eastAsia" w:ascii="仿宋_GB2312" w:hAnsi="仿宋_GB2312" w:eastAsia="仿宋_GB2312" w:cs="仿宋_GB2312"/>
          <w:color w:val="000000"/>
          <w:sz w:val="32"/>
          <w:szCs w:val="32"/>
          <w:lang w:eastAsia="zh-CN"/>
        </w:rPr>
        <w:t>单位</w:t>
      </w:r>
      <w:r>
        <w:rPr>
          <w:rFonts w:hint="eastAsia" w:ascii="仿宋_GB2312" w:hAnsi="仿宋_GB2312" w:eastAsia="仿宋_GB2312" w:cs="仿宋_GB2312"/>
          <w:color w:val="000000"/>
          <w:sz w:val="32"/>
          <w:szCs w:val="32"/>
        </w:rPr>
        <w:t>，是可行的</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必要的</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sz w:val="32"/>
          <w:szCs w:val="32"/>
          <w:lang w:val="en-US" w:eastAsia="zh-CN"/>
        </w:rPr>
        <w:t>采购符合《中华人民共和国政府</w:t>
      </w:r>
      <w:bookmarkStart w:id="2" w:name="_GoBack"/>
      <w:bookmarkEnd w:id="2"/>
      <w:r>
        <w:rPr>
          <w:rFonts w:hint="eastAsia" w:ascii="仿宋_GB2312" w:hAnsi="仿宋_GB2312" w:eastAsia="仿宋_GB2312" w:cs="仿宋_GB2312"/>
          <w:b w:val="0"/>
          <w:bCs w:val="0"/>
          <w:sz w:val="32"/>
          <w:szCs w:val="32"/>
          <w:lang w:val="en-US" w:eastAsia="zh-CN"/>
        </w:rPr>
        <w:t>采购法》，符合《广西壮族自治区财政厅关于进一步规范政府采购单一来源采购方式管理的通知》（桂财规〔2021〕4号）中的第一种情形要求。</w:t>
      </w:r>
    </w:p>
    <w:p w14:paraId="76FCB35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lang w:eastAsia="zh-CN"/>
        </w:rPr>
        <w:t>二、</w:t>
      </w:r>
      <w:r>
        <w:rPr>
          <w:rFonts w:hint="eastAsia" w:ascii="黑体" w:hAnsi="黑体" w:eastAsia="黑体"/>
          <w:b w:val="0"/>
          <w:bCs w:val="0"/>
          <w:sz w:val="28"/>
          <w:szCs w:val="28"/>
          <w:highlight w:val="none"/>
          <w:u w:val="none"/>
        </w:rPr>
        <w:t>拟定供应商信息</w:t>
      </w:r>
    </w:p>
    <w:p w14:paraId="2119332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 w:val="0"/>
          <w:bCs w:val="0"/>
          <w:sz w:val="32"/>
          <w:szCs w:val="32"/>
          <w:u w:val="none"/>
          <w:lang w:val="en-US" w:eastAsia="zh-Hans"/>
        </w:rPr>
      </w:pPr>
      <w:r>
        <w:rPr>
          <w:rFonts w:hint="eastAsia" w:ascii="仿宋_GB2312" w:hAnsi="仿宋_GB2312" w:eastAsia="仿宋_GB2312" w:cs="仿宋_GB2312"/>
          <w:b w:val="0"/>
          <w:bCs w:val="0"/>
          <w:sz w:val="32"/>
          <w:szCs w:val="32"/>
          <w:u w:val="none"/>
        </w:rPr>
        <w:t>名称：</w:t>
      </w:r>
      <w:r>
        <w:rPr>
          <w:rFonts w:hint="eastAsia" w:ascii="仿宋_GB2312" w:hAnsi="仿宋_GB2312" w:eastAsia="仿宋_GB2312" w:cs="仿宋_GB2312"/>
          <w:b w:val="0"/>
          <w:bCs w:val="0"/>
          <w:sz w:val="32"/>
          <w:szCs w:val="32"/>
          <w:u w:val="none"/>
          <w:lang w:eastAsia="zh-CN"/>
        </w:rPr>
        <w:t>广西壮族</w:t>
      </w:r>
      <w:r>
        <w:rPr>
          <w:rFonts w:hint="eastAsia" w:ascii="仿宋_GB2312" w:hAnsi="仿宋_GB2312" w:eastAsia="仿宋_GB2312" w:cs="仿宋_GB2312"/>
          <w:b w:val="0"/>
          <w:bCs w:val="0"/>
          <w:sz w:val="32"/>
          <w:szCs w:val="32"/>
          <w:u w:val="none"/>
        </w:rPr>
        <w:t>自治区</w:t>
      </w:r>
      <w:r>
        <w:rPr>
          <w:rFonts w:hint="eastAsia" w:ascii="仿宋_GB2312" w:hAnsi="仿宋_GB2312" w:eastAsia="仿宋_GB2312" w:cs="仿宋_GB2312"/>
          <w:b w:val="0"/>
          <w:bCs w:val="0"/>
          <w:sz w:val="32"/>
          <w:szCs w:val="32"/>
          <w:u w:val="none"/>
          <w:lang w:val="en-US" w:eastAsia="zh-Hans"/>
        </w:rPr>
        <w:t>中医药研究院</w:t>
      </w:r>
    </w:p>
    <w:p w14:paraId="75E10E6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default" w:ascii="仿宋_GB2312" w:hAnsi="仿宋_GB2312" w:eastAsia="仿宋_GB2312" w:cs="仿宋_GB2312"/>
          <w:b w:val="0"/>
          <w:bCs w:val="0"/>
          <w:sz w:val="32"/>
          <w:szCs w:val="32"/>
          <w:highlight w:val="none"/>
          <w:u w:val="none"/>
          <w:lang w:val="en-US" w:eastAsia="zh-Hans"/>
        </w:rPr>
      </w:pPr>
      <w:r>
        <w:rPr>
          <w:rFonts w:hint="eastAsia" w:ascii="仿宋_GB2312" w:hAnsi="仿宋_GB2312" w:eastAsia="仿宋_GB2312" w:cs="仿宋_GB2312"/>
          <w:b w:val="0"/>
          <w:bCs w:val="0"/>
          <w:sz w:val="32"/>
          <w:szCs w:val="32"/>
          <w:highlight w:val="none"/>
          <w:u w:val="none"/>
        </w:rPr>
        <w:t>地址</w:t>
      </w:r>
      <w:r>
        <w:rPr>
          <w:rFonts w:hint="eastAsia" w:ascii="仿宋_GB2312" w:hAnsi="仿宋_GB2312" w:eastAsia="仿宋_GB2312" w:cs="仿宋_GB2312"/>
          <w:b w:val="0"/>
          <w:bCs w:val="0"/>
          <w:sz w:val="32"/>
          <w:szCs w:val="32"/>
          <w:highlight w:val="none"/>
          <w:u w:val="none"/>
          <w:lang w:eastAsia="zh-CN"/>
        </w:rPr>
        <w:t>：广西南宁市</w:t>
      </w:r>
      <w:r>
        <w:rPr>
          <w:rFonts w:hint="eastAsia" w:ascii="仿宋_GB2312" w:hAnsi="仿宋_GB2312" w:eastAsia="仿宋_GB2312" w:cs="仿宋_GB2312"/>
          <w:b w:val="0"/>
          <w:bCs w:val="0"/>
          <w:sz w:val="32"/>
          <w:szCs w:val="32"/>
          <w:highlight w:val="none"/>
          <w:u w:val="none"/>
          <w:lang w:val="en-US" w:eastAsia="zh-Hans"/>
        </w:rPr>
        <w:t>东葛路</w:t>
      </w:r>
      <w:r>
        <w:rPr>
          <w:rFonts w:hint="default" w:ascii="仿宋_GB2312" w:hAnsi="仿宋_GB2312" w:eastAsia="仿宋_GB2312" w:cs="仿宋_GB2312"/>
          <w:b w:val="0"/>
          <w:bCs w:val="0"/>
          <w:sz w:val="32"/>
          <w:szCs w:val="32"/>
          <w:highlight w:val="none"/>
          <w:u w:val="none"/>
          <w:lang w:eastAsia="zh-Hans"/>
        </w:rPr>
        <w:t>20-1</w:t>
      </w:r>
      <w:r>
        <w:rPr>
          <w:rFonts w:hint="eastAsia" w:ascii="仿宋_GB2312" w:hAnsi="仿宋_GB2312" w:eastAsia="仿宋_GB2312" w:cs="仿宋_GB2312"/>
          <w:b w:val="0"/>
          <w:bCs w:val="0"/>
          <w:sz w:val="32"/>
          <w:szCs w:val="32"/>
          <w:highlight w:val="none"/>
          <w:u w:val="none"/>
          <w:lang w:val="en-US" w:eastAsia="zh-Hans"/>
        </w:rPr>
        <w:t>号</w:t>
      </w:r>
    </w:p>
    <w:p w14:paraId="0FEB8D7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default" w:ascii="仿宋_GB2312" w:hAnsi="仿宋_GB2312" w:eastAsia="仿宋_GB2312" w:cs="仿宋_GB2312"/>
          <w:b w:val="0"/>
          <w:bCs w:val="0"/>
          <w:sz w:val="32"/>
          <w:szCs w:val="32"/>
          <w:highlight w:val="none"/>
          <w:u w:val="none"/>
          <w:lang w:val="en-US" w:eastAsia="zh-CN"/>
        </w:rPr>
      </w:pPr>
      <w:r>
        <w:rPr>
          <w:rFonts w:hint="eastAsia" w:ascii="仿宋_GB2312" w:hAnsi="仿宋_GB2312" w:eastAsia="仿宋_GB2312" w:cs="仿宋_GB2312"/>
          <w:b w:val="0"/>
          <w:bCs w:val="0"/>
          <w:sz w:val="32"/>
          <w:szCs w:val="32"/>
          <w:highlight w:val="none"/>
          <w:u w:val="none"/>
        </w:rPr>
        <w:t>联系人</w:t>
      </w:r>
      <w:r>
        <w:rPr>
          <w:rFonts w:hint="eastAsia" w:ascii="仿宋_GB2312" w:hAnsi="仿宋_GB2312" w:eastAsia="仿宋_GB2312" w:cs="仿宋_GB2312"/>
          <w:b w:val="0"/>
          <w:bCs w:val="0"/>
          <w:sz w:val="32"/>
          <w:szCs w:val="32"/>
          <w:highlight w:val="none"/>
          <w:u w:val="none"/>
          <w:lang w:val="en-US" w:eastAsia="zh-Hans"/>
        </w:rPr>
        <w:t>及联系电话：</w:t>
      </w:r>
      <w:r>
        <w:rPr>
          <w:rFonts w:hint="eastAsia" w:ascii="仿宋_GB2312" w:hAnsi="仿宋_GB2312" w:eastAsia="仿宋_GB2312" w:cs="仿宋_GB2312"/>
          <w:b w:val="0"/>
          <w:bCs w:val="0"/>
          <w:sz w:val="32"/>
          <w:szCs w:val="32"/>
          <w:highlight w:val="none"/>
          <w:u w:val="none"/>
          <w:lang w:val="en-US" w:eastAsia="zh-CN"/>
        </w:rPr>
        <w:t>李星宇</w:t>
      </w:r>
      <w:r>
        <w:rPr>
          <w:rFonts w:hint="default" w:ascii="仿宋_GB2312" w:hAnsi="仿宋_GB2312" w:eastAsia="仿宋_GB2312" w:cs="仿宋_GB2312"/>
          <w:b w:val="0"/>
          <w:bCs w:val="0"/>
          <w:sz w:val="32"/>
          <w:szCs w:val="32"/>
          <w:highlight w:val="none"/>
          <w:u w:val="none"/>
          <w:lang w:eastAsia="zh-Hans"/>
        </w:rPr>
        <w:t xml:space="preserve"> </w:t>
      </w:r>
      <w:r>
        <w:rPr>
          <w:rFonts w:hint="eastAsia" w:ascii="仿宋_GB2312" w:hAnsi="仿宋_GB2312" w:eastAsia="仿宋_GB2312" w:cs="仿宋_GB2312"/>
          <w:b w:val="0"/>
          <w:bCs w:val="0"/>
          <w:sz w:val="32"/>
          <w:szCs w:val="32"/>
          <w:highlight w:val="none"/>
          <w:u w:val="none"/>
        </w:rPr>
        <w:t>0771-58</w:t>
      </w:r>
      <w:r>
        <w:rPr>
          <w:rFonts w:hint="eastAsia" w:ascii="仿宋_GB2312" w:hAnsi="仿宋_GB2312" w:eastAsia="仿宋_GB2312" w:cs="仿宋_GB2312"/>
          <w:b w:val="0"/>
          <w:bCs w:val="0"/>
          <w:sz w:val="32"/>
          <w:szCs w:val="32"/>
          <w:highlight w:val="none"/>
          <w:u w:val="none"/>
          <w:lang w:val="en-US" w:eastAsia="zh-CN"/>
        </w:rPr>
        <w:t>77473</w:t>
      </w:r>
    </w:p>
    <w:p w14:paraId="6641AD67">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lang w:val="en-US" w:eastAsia="zh-CN"/>
        </w:rPr>
      </w:pPr>
      <w:r>
        <w:rPr>
          <w:rFonts w:hint="eastAsia" w:ascii="黑体" w:hAnsi="黑体" w:eastAsia="黑体"/>
          <w:b w:val="0"/>
          <w:bCs w:val="0"/>
          <w:sz w:val="28"/>
          <w:szCs w:val="28"/>
          <w:highlight w:val="none"/>
          <w:u w:val="none"/>
        </w:rPr>
        <w:t>三、</w:t>
      </w:r>
      <w:r>
        <w:rPr>
          <w:rFonts w:ascii="黑体" w:hAnsi="黑体" w:eastAsia="黑体"/>
          <w:b w:val="0"/>
          <w:bCs w:val="0"/>
          <w:sz w:val="28"/>
          <w:szCs w:val="28"/>
          <w:highlight w:val="none"/>
          <w:u w:val="none"/>
        </w:rPr>
        <w:t>其他</w:t>
      </w:r>
      <w:r>
        <w:rPr>
          <w:rFonts w:hint="eastAsia" w:ascii="黑体" w:hAnsi="黑体" w:eastAsia="黑体"/>
          <w:b w:val="0"/>
          <w:bCs w:val="0"/>
          <w:sz w:val="28"/>
          <w:szCs w:val="28"/>
          <w:highlight w:val="none"/>
          <w:u w:val="none"/>
        </w:rPr>
        <w:t>补充事宜：</w:t>
      </w:r>
      <w:r>
        <w:rPr>
          <w:rFonts w:hint="eastAsia" w:ascii="仿宋_GB2312" w:hAnsi="仿宋_GB2312" w:eastAsia="仿宋_GB2312" w:cs="仿宋_GB2312"/>
          <w:b w:val="0"/>
          <w:bCs w:val="0"/>
          <w:sz w:val="32"/>
          <w:szCs w:val="32"/>
          <w:highlight w:val="none"/>
          <w:u w:val="none"/>
          <w:lang w:eastAsia="zh-CN"/>
        </w:rPr>
        <w:t>无</w:t>
      </w:r>
    </w:p>
    <w:p w14:paraId="4CF50195">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rPr>
        <w:t>四</w:t>
      </w:r>
      <w:r>
        <w:rPr>
          <w:rFonts w:ascii="黑体" w:hAnsi="黑体" w:eastAsia="黑体"/>
          <w:b w:val="0"/>
          <w:bCs w:val="0"/>
          <w:sz w:val="28"/>
          <w:szCs w:val="28"/>
          <w:highlight w:val="none"/>
          <w:u w:val="none"/>
        </w:rPr>
        <w:t>、</w:t>
      </w:r>
      <w:r>
        <w:rPr>
          <w:rFonts w:hint="eastAsia" w:ascii="黑体" w:hAnsi="黑体" w:eastAsia="黑体"/>
          <w:b w:val="0"/>
          <w:bCs w:val="0"/>
          <w:sz w:val="28"/>
          <w:szCs w:val="28"/>
          <w:highlight w:val="none"/>
          <w:u w:val="none"/>
          <w:lang w:eastAsia="zh-CN"/>
        </w:rPr>
        <w:t>采购方</w:t>
      </w:r>
      <w:r>
        <w:rPr>
          <w:rFonts w:hint="eastAsia" w:ascii="黑体" w:hAnsi="黑体" w:eastAsia="黑体"/>
          <w:b w:val="0"/>
          <w:bCs w:val="0"/>
          <w:sz w:val="28"/>
          <w:szCs w:val="28"/>
          <w:highlight w:val="none"/>
          <w:u w:val="none"/>
        </w:rPr>
        <w:t>联系方式</w:t>
      </w:r>
    </w:p>
    <w:p w14:paraId="329CA0B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pacing w:val="-6"/>
          <w:sz w:val="32"/>
          <w:szCs w:val="32"/>
          <w:highlight w:val="none"/>
          <w:u w:val="none"/>
          <w:lang w:val="en-US" w:eastAsia="zh-CN"/>
        </w:rPr>
      </w:pPr>
      <w:r>
        <w:rPr>
          <w:rFonts w:hint="eastAsia" w:ascii="仿宋_GB2312" w:hAnsi="仿宋_GB2312" w:eastAsia="仿宋_GB2312" w:cs="仿宋_GB2312"/>
          <w:b w:val="0"/>
          <w:bCs w:val="0"/>
          <w:sz w:val="32"/>
          <w:szCs w:val="32"/>
          <w:highlight w:val="none"/>
          <w:u w:val="none"/>
        </w:rPr>
        <w:t>联系</w:t>
      </w:r>
      <w:r>
        <w:rPr>
          <w:rFonts w:hint="eastAsia" w:ascii="仿宋_GB2312" w:hAnsi="仿宋_GB2312" w:eastAsia="仿宋_GB2312" w:cs="仿宋_GB2312"/>
          <w:b w:val="0"/>
          <w:bCs w:val="0"/>
          <w:sz w:val="32"/>
          <w:szCs w:val="32"/>
          <w:highlight w:val="none"/>
          <w:u w:val="none"/>
          <w:lang w:eastAsia="zh-CN"/>
        </w:rPr>
        <w:t>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p>
    <w:p w14:paraId="28A045E3">
      <w:pPr>
        <w:keepNext w:val="0"/>
        <w:keepLines w:val="0"/>
        <w:pageBreakBefore w:val="0"/>
        <w:widowControl w:val="0"/>
        <w:kinsoku/>
        <w:wordWrap/>
        <w:overflowPunct/>
        <w:topLinePunct w:val="0"/>
        <w:autoSpaceDE/>
        <w:autoSpaceDN/>
        <w:bidi w:val="0"/>
        <w:adjustRightInd/>
        <w:snapToGrid/>
        <w:spacing w:line="560" w:lineRule="exact"/>
        <w:ind w:firstLine="2156" w:firstLineChars="700"/>
        <w:textAlignment w:val="auto"/>
      </w:pPr>
      <w:r>
        <w:rPr>
          <w:rFonts w:hint="eastAsia" w:ascii="仿宋_GB2312" w:hAnsi="仿宋_GB2312" w:eastAsia="仿宋_GB2312" w:cs="仿宋_GB2312"/>
          <w:b w:val="0"/>
          <w:bCs w:val="0"/>
          <w:spacing w:val="-6"/>
          <w:sz w:val="32"/>
          <w:szCs w:val="32"/>
          <w:highlight w:val="none"/>
          <w:u w:val="none"/>
          <w:lang w:eastAsia="zh-CN"/>
        </w:rPr>
        <w:t>自治区中医药局</w:t>
      </w:r>
      <w:r>
        <w:rPr>
          <w:rFonts w:hint="eastAsia" w:ascii="仿宋_GB2312" w:hAnsi="仿宋_GB2312" w:eastAsia="仿宋_GB2312" w:cs="仿宋_GB2312"/>
          <w:b w:val="0"/>
          <w:bCs w:val="0"/>
          <w:spacing w:val="-6"/>
          <w:sz w:val="32"/>
          <w:szCs w:val="32"/>
          <w:highlight w:val="none"/>
          <w:u w:val="none"/>
          <w:lang w:val="en-US" w:eastAsia="zh-Hans"/>
        </w:rPr>
        <w:t>规划产业</w:t>
      </w:r>
      <w:r>
        <w:rPr>
          <w:rFonts w:hint="eastAsia" w:ascii="仿宋_GB2312" w:hAnsi="仿宋_GB2312" w:eastAsia="仿宋_GB2312" w:cs="仿宋_GB2312"/>
          <w:b w:val="0"/>
          <w:bCs w:val="0"/>
          <w:spacing w:val="-6"/>
          <w:sz w:val="32"/>
          <w:szCs w:val="32"/>
          <w:highlight w:val="none"/>
          <w:u w:val="none"/>
          <w:lang w:eastAsia="zh-CN"/>
        </w:rPr>
        <w:t>处</w:t>
      </w:r>
    </w:p>
    <w:p w14:paraId="0BF9B3B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联系人</w:t>
      </w:r>
      <w:r>
        <w:rPr>
          <w:rFonts w:hint="eastAsia" w:ascii="仿宋_GB2312" w:hAnsi="仿宋_GB2312" w:eastAsia="仿宋_GB2312" w:cs="仿宋_GB2312"/>
          <w:b w:val="0"/>
          <w:bCs w:val="0"/>
          <w:sz w:val="32"/>
          <w:szCs w:val="32"/>
          <w:highlight w:val="none"/>
          <w:u w:val="none"/>
          <w:lang w:val="en-US" w:eastAsia="zh-Hans"/>
        </w:rPr>
        <w:t>及联系电话</w:t>
      </w:r>
      <w:r>
        <w:rPr>
          <w:rFonts w:hint="eastAsia" w:ascii="仿宋_GB2312" w:hAnsi="仿宋_GB2312" w:eastAsia="仿宋_GB2312" w:cs="仿宋_GB2312"/>
          <w:b w:val="0"/>
          <w:bCs w:val="0"/>
          <w:sz w:val="32"/>
          <w:szCs w:val="32"/>
          <w:highlight w:val="none"/>
          <w:u w:val="none"/>
          <w:lang w:val="en-US" w:eastAsia="zh-CN"/>
        </w:rPr>
        <w:t>：孔祥珂</w:t>
      </w:r>
      <w:r>
        <w:rPr>
          <w:rFonts w:hint="eastAsia" w:ascii="仿宋_GB2312" w:hAnsi="仿宋_GB2312" w:eastAsia="仿宋_GB2312" w:cs="仿宋_GB2312"/>
          <w:b w:val="0"/>
          <w:bCs w:val="0"/>
          <w:sz w:val="32"/>
          <w:szCs w:val="32"/>
          <w:highlight w:val="none"/>
          <w:u w:val="none"/>
        </w:rPr>
        <w:t xml:space="preserve"> </w:t>
      </w:r>
      <w:r>
        <w:rPr>
          <w:rFonts w:hint="eastAsia" w:ascii="仿宋_GB2312" w:hAnsi="仿宋_GB2312" w:eastAsia="仿宋_GB2312" w:cs="仿宋_GB2312"/>
          <w:b w:val="0"/>
          <w:bCs w:val="0"/>
          <w:sz w:val="32"/>
          <w:szCs w:val="32"/>
          <w:highlight w:val="none"/>
          <w:u w:val="none"/>
          <w:lang w:val="en-US" w:eastAsia="zh-CN"/>
        </w:rPr>
        <w:t>0771-2</w:t>
      </w:r>
      <w:r>
        <w:rPr>
          <w:rFonts w:hint="default" w:ascii="仿宋_GB2312" w:hAnsi="仿宋_GB2312" w:eastAsia="仿宋_GB2312" w:cs="仿宋_GB2312"/>
          <w:b w:val="0"/>
          <w:bCs w:val="0"/>
          <w:sz w:val="32"/>
          <w:szCs w:val="32"/>
          <w:highlight w:val="none"/>
          <w:u w:val="none"/>
          <w:lang w:eastAsia="zh-CN"/>
        </w:rPr>
        <w:t>448682</w:t>
      </w:r>
      <w:r>
        <w:rPr>
          <w:rFonts w:hint="eastAsia" w:ascii="仿宋_GB2312" w:hAnsi="仿宋_GB2312" w:eastAsia="仿宋_GB2312" w:cs="仿宋_GB2312"/>
          <w:b w:val="0"/>
          <w:bCs w:val="0"/>
          <w:sz w:val="32"/>
          <w:szCs w:val="32"/>
          <w:highlight w:val="none"/>
          <w:u w:val="none"/>
        </w:rPr>
        <w:t xml:space="preserve">          </w:t>
      </w:r>
    </w:p>
    <w:p w14:paraId="14F8A8EC">
      <w:pPr>
        <w:pageBreakBefore w:val="0"/>
        <w:widowControl w:val="0"/>
        <w:kinsoku/>
        <w:wordWrap/>
        <w:overflowPunct/>
        <w:topLinePunct w:val="0"/>
        <w:bidi w:val="0"/>
        <w:snapToGrid/>
        <w:spacing w:line="560" w:lineRule="exact"/>
        <w:textAlignment w:val="auto"/>
        <w:rPr>
          <w:b w:val="0"/>
          <w:bCs w:val="0"/>
          <w:u w:val="none"/>
        </w:rPr>
      </w:pPr>
    </w:p>
    <w:sectPr>
      <w:pgSz w:w="11906" w:h="16838"/>
      <w:pgMar w:top="1701" w:right="1417" w:bottom="1417"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802040204020203"/>
    <w:charset w:val="00"/>
    <w:family w:val="auto"/>
    <w:pitch w:val="default"/>
    <w:sig w:usb0="E10022FF" w:usb1="C000E47F" w:usb2="00000029" w:usb3="00000000" w:csb0="200001DF" w:csb1="20000000"/>
  </w:font>
  <w:font w:name="方正书宋_GBK">
    <w:panose1 w:val="02000000000000000000"/>
    <w:charset w:val="86"/>
    <w:family w:val="auto"/>
    <w:pitch w:val="default"/>
    <w:sig w:usb0="00000001" w:usb1="08000000" w:usb2="00000000" w:usb3="00000000" w:csb0="00040000" w:csb1="00000000"/>
  </w:font>
  <w:font w:name="Arial">
    <w:altName w:val="Nimbus Roman No9 L"/>
    <w:panose1 w:val="020B0604020202020204"/>
    <w:charset w:val="00"/>
    <w:family w:val="swiss"/>
    <w:pitch w:val="default"/>
    <w:sig w:usb0="E0002AFF" w:usb1="C0007843" w:usb2="00000009" w:usb3="00000000" w:csb0="400001FF" w:csb1="FFFF0000"/>
  </w:font>
  <w:font w:name="Courier New">
    <w:altName w:val="DejaVu Sans"/>
    <w:panose1 w:val="02070309020205020404"/>
    <w:charset w:val="00"/>
    <w:family w:val="modern"/>
    <w:pitch w:val="default"/>
    <w:sig w:usb0="E0002AFF" w:usb1="C0007843" w:usb2="00000009" w:usb3="00000000" w:csb0="400001FF" w:csb1="FFFF0000"/>
  </w:font>
  <w:font w:name="DejaVu Sans">
    <w:panose1 w:val="020B0603030804020204"/>
    <w:charset w:val="00"/>
    <w:family w:val="auto"/>
    <w:pitch w:val="default"/>
    <w:sig w:usb0="E7006EFF" w:usb1="D200FDFF" w:usb2="0A246029" w:usb3="0400200C" w:csb0="600001FF" w:csb1="DFFF0000"/>
  </w:font>
  <w:font w:name="黑体">
    <w:altName w:val="方正黑体_GBK"/>
    <w:panose1 w:val="02010609060101010101"/>
    <w:charset w:val="00"/>
    <w:family w:val="auto"/>
    <w:pitch w:val="default"/>
    <w:sig w:usb0="800002BF" w:usb1="38CF7CFA"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00"/>
    <w:family w:val="modern"/>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FhZGM5MTg0YmI2M2I3ODE0YmY4ZTU5OWQ0ODVmODIifQ=="/>
  </w:docVars>
  <w:rsids>
    <w:rsidRoot w:val="00681A4D"/>
    <w:rsid w:val="000C53AD"/>
    <w:rsid w:val="003C5A39"/>
    <w:rsid w:val="00681A4D"/>
    <w:rsid w:val="00951E8A"/>
    <w:rsid w:val="00AB48DE"/>
    <w:rsid w:val="00C06DC6"/>
    <w:rsid w:val="00C42258"/>
    <w:rsid w:val="00CB10F8"/>
    <w:rsid w:val="02510197"/>
    <w:rsid w:val="051D2AD2"/>
    <w:rsid w:val="09734E97"/>
    <w:rsid w:val="0D0D779C"/>
    <w:rsid w:val="17EC241A"/>
    <w:rsid w:val="1C1D13BE"/>
    <w:rsid w:val="1C5C795A"/>
    <w:rsid w:val="1CB1038C"/>
    <w:rsid w:val="1D227B3D"/>
    <w:rsid w:val="1D527E04"/>
    <w:rsid w:val="21055BF7"/>
    <w:rsid w:val="23C45014"/>
    <w:rsid w:val="271A2F4B"/>
    <w:rsid w:val="28795BCE"/>
    <w:rsid w:val="2A3644B8"/>
    <w:rsid w:val="2C2220D9"/>
    <w:rsid w:val="2C900E2A"/>
    <w:rsid w:val="2E953036"/>
    <w:rsid w:val="31ED3189"/>
    <w:rsid w:val="399460E1"/>
    <w:rsid w:val="3BF861A3"/>
    <w:rsid w:val="3F261699"/>
    <w:rsid w:val="41526A7E"/>
    <w:rsid w:val="425061B2"/>
    <w:rsid w:val="43881D29"/>
    <w:rsid w:val="45491CA2"/>
    <w:rsid w:val="4AAE41D2"/>
    <w:rsid w:val="4C6F77DC"/>
    <w:rsid w:val="52112AD0"/>
    <w:rsid w:val="534544E2"/>
    <w:rsid w:val="594F3C5E"/>
    <w:rsid w:val="5A5B6015"/>
    <w:rsid w:val="61647454"/>
    <w:rsid w:val="64C52322"/>
    <w:rsid w:val="65362175"/>
    <w:rsid w:val="68395F98"/>
    <w:rsid w:val="6EF327F9"/>
    <w:rsid w:val="71CD40C0"/>
    <w:rsid w:val="73D04534"/>
    <w:rsid w:val="74A72748"/>
    <w:rsid w:val="763E532E"/>
    <w:rsid w:val="78782AFC"/>
    <w:rsid w:val="78C0027C"/>
    <w:rsid w:val="7B0F10EF"/>
    <w:rsid w:val="BC7F1F14"/>
    <w:rsid w:val="DEFE48FC"/>
    <w:rsid w:val="EDEEC276"/>
    <w:rsid w:val="F4BF50C5"/>
    <w:rsid w:val="F7FBB5C2"/>
    <w:rsid w:val="FAFFA197"/>
    <w:rsid w:val="FFEC175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semiHidden="0"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12"/>
    <w:qFormat/>
    <w:uiPriority w:val="9"/>
    <w:pPr>
      <w:keepNext/>
      <w:keepLines/>
      <w:spacing w:before="340" w:after="330" w:line="578" w:lineRule="auto"/>
      <w:outlineLvl w:val="0"/>
    </w:pPr>
    <w:rPr>
      <w:b/>
      <w:bCs/>
      <w:kern w:val="44"/>
      <w:sz w:val="44"/>
      <w:szCs w:val="44"/>
    </w:rPr>
  </w:style>
  <w:style w:type="character" w:default="1" w:styleId="9">
    <w:name w:val="Default Paragraph Font"/>
    <w:unhideWhenUsed/>
    <w:qFormat/>
    <w:uiPriority w:val="1"/>
  </w:style>
  <w:style w:type="table" w:default="1" w:styleId="7">
    <w:name w:val="Normal Table"/>
    <w:unhideWhenUsed/>
    <w:qFormat/>
    <w:uiPriority w:val="99"/>
    <w:tblPr>
      <w:tblStyle w:val="7"/>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Arial" w:hAnsi="Arial"/>
      <w:b/>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spacing w:before="100" w:beforeAutospacing="1" w:after="100" w:afterAutospacing="1"/>
      <w:ind w:left="0" w:right="0"/>
      <w:jc w:val="left"/>
    </w:pPr>
    <w:rPr>
      <w:kern w:val="0"/>
      <w:sz w:val="24"/>
      <w:lang w:val="en-US" w:eastAsia="zh-CN" w:bidi="ar"/>
    </w:rPr>
  </w:style>
  <w:style w:type="table" w:styleId="8">
    <w:name w:val="Table Grid"/>
    <w:basedOn w:val="7"/>
    <w:qFormat/>
    <w:uiPriority w:val="0"/>
    <w:rPr>
      <w:kern w:val="0"/>
      <w:sz w:val="20"/>
      <w:szCs w:val="20"/>
    </w:rPr>
    <w:tblPr>
      <w:tblStyle w:val="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Emphasis"/>
    <w:basedOn w:val="9"/>
    <w:qFormat/>
    <w:uiPriority w:val="20"/>
    <w:rPr>
      <w:i/>
    </w:rPr>
  </w:style>
  <w:style w:type="character" w:styleId="11">
    <w:name w:val="HTML Sample"/>
    <w:basedOn w:val="9"/>
    <w:unhideWhenUsed/>
    <w:qFormat/>
    <w:uiPriority w:val="99"/>
    <w:rPr>
      <w:rFonts w:ascii="Courier New" w:hAnsi="Courier New"/>
    </w:rPr>
  </w:style>
  <w:style w:type="character" w:customStyle="1" w:styleId="12">
    <w:name w:val="标题 1 字符"/>
    <w:basedOn w:val="9"/>
    <w:link w:val="3"/>
    <w:qFormat/>
    <w:uiPriority w:val="9"/>
    <w:rPr>
      <w:rFonts w:ascii="Times New Roman" w:hAnsi="Times New Roman" w:eastAsia="宋体" w:cs="Times New Roman"/>
      <w:b/>
      <w:bCs/>
      <w:kern w:val="44"/>
      <w:sz w:val="44"/>
      <w:szCs w:val="44"/>
    </w:rPr>
  </w:style>
  <w:style w:type="character" w:customStyle="1" w:styleId="13">
    <w:name w:val="页脚 字符"/>
    <w:basedOn w:val="9"/>
    <w:link w:val="4"/>
    <w:qFormat/>
    <w:uiPriority w:val="99"/>
    <w:rPr>
      <w:rFonts w:ascii="Times New Roman" w:hAnsi="Times New Roman" w:eastAsia="宋体" w:cs="Times New Roman"/>
      <w:sz w:val="18"/>
      <w:szCs w:val="18"/>
    </w:rPr>
  </w:style>
  <w:style w:type="character" w:customStyle="1" w:styleId="14">
    <w:name w:val="页眉 字符"/>
    <w:basedOn w:val="9"/>
    <w:link w:val="5"/>
    <w:qFormat/>
    <w:uiPriority w:val="99"/>
    <w:rPr>
      <w:rFonts w:ascii="Times New Roman" w:hAnsi="Times New Roman" w:eastAsia="宋体" w:cs="Times New Roman"/>
      <w:sz w:val="18"/>
      <w:szCs w:val="18"/>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601</Words>
  <Characters>646</Characters>
  <Lines>3</Lines>
  <Paragraphs>1</Paragraphs>
  <TotalTime>0</TotalTime>
  <ScaleCrop>false</ScaleCrop>
  <LinksUpToDate>false</LinksUpToDate>
  <CharactersWithSpaces>665</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2020-06-20T09:06:00Z</dcterms:created>
  <dc:creator>王 春强</dc:creator>
  <cp:lastModifiedBy>暴躁的小谭</cp:lastModifiedBy>
  <cp:lastPrinted>2024-02-07T01:38:06Z</cp:lastPrinted>
  <dcterms:modified xsi:type="dcterms:W3CDTF">2025-05-08T16:32:59Z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D03E346C77C964333B6C1C6802D27FFD_43</vt:lpwstr>
  </property>
</Properties>
</file>