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3D3A8D">
      <w:pPr>
        <w:rPr>
          <w:rFonts w:hint="eastAsia" w:ascii="黑体" w:hAnsi="黑体" w:eastAsia="黑体" w:cs="黑体"/>
          <w:b w:val="0"/>
          <w:bCs/>
          <w:color w:val="auto"/>
          <w:sz w:val="32"/>
          <w:szCs w:val="32"/>
        </w:rPr>
      </w:pPr>
      <w:r>
        <w:rPr>
          <w:rFonts w:hint="eastAsia" w:ascii="黑体" w:hAnsi="黑体" w:eastAsia="黑体" w:cs="黑体"/>
          <w:b w:val="0"/>
          <w:bCs/>
          <w:color w:val="auto"/>
          <w:sz w:val="32"/>
          <w:szCs w:val="32"/>
        </w:rPr>
        <w:t xml:space="preserve">附件1 </w:t>
      </w:r>
    </w:p>
    <w:p w14:paraId="3E99A6D4">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黑体" w:hAnsi="黑体" w:eastAsia="黑体" w:cs="黑体"/>
          <w:b w:val="0"/>
          <w:bCs/>
          <w:color w:val="auto"/>
          <w:sz w:val="32"/>
          <w:szCs w:val="32"/>
        </w:rPr>
      </w:pPr>
    </w:p>
    <w:p w14:paraId="167389F3">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color w:val="auto"/>
          <w:sz w:val="44"/>
          <w:szCs w:val="44"/>
        </w:rPr>
      </w:pPr>
      <w:r>
        <w:rPr>
          <w:rFonts w:hint="eastAsia" w:ascii="方正小标宋简体" w:hAnsi="方正小标宋简体" w:eastAsia="方正小标宋简体" w:cs="方正小标宋简体"/>
          <w:b w:val="0"/>
          <w:bCs/>
          <w:color w:val="auto"/>
          <w:sz w:val="44"/>
          <w:szCs w:val="44"/>
        </w:rPr>
        <w:t>国家级项目和区级项目电子信息化</w:t>
      </w:r>
    </w:p>
    <w:p w14:paraId="63F26B6D">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color w:val="auto"/>
          <w:sz w:val="44"/>
          <w:szCs w:val="44"/>
        </w:rPr>
      </w:pPr>
      <w:r>
        <w:rPr>
          <w:rFonts w:hint="eastAsia" w:ascii="方正小标宋简体" w:hAnsi="方正小标宋简体" w:eastAsia="方正小标宋简体" w:cs="方正小标宋简体"/>
          <w:b w:val="0"/>
          <w:bCs/>
          <w:color w:val="auto"/>
          <w:sz w:val="44"/>
          <w:szCs w:val="44"/>
        </w:rPr>
        <w:t>举办操作流程</w:t>
      </w:r>
    </w:p>
    <w:p w14:paraId="4CB982CE">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eastAsia" w:ascii="仿宋_GB2312" w:hAnsi="仿宋_GB2312" w:eastAsia="仿宋_GB2312" w:cs="仿宋_GB2312"/>
          <w:b/>
          <w:bCs/>
          <w:color w:val="auto"/>
          <w:sz w:val="28"/>
          <w:szCs w:val="28"/>
        </w:rPr>
      </w:pPr>
    </w:p>
    <w:p w14:paraId="0320A44F">
      <w:pPr>
        <w:keepNext w:val="0"/>
        <w:keepLines w:val="0"/>
        <w:pageBreakBefore w:val="0"/>
        <w:kinsoku/>
        <w:wordWrap/>
        <w:overflowPunct/>
        <w:topLinePunct w:val="0"/>
        <w:autoSpaceDE/>
        <w:autoSpaceDN/>
        <w:bidi w:val="0"/>
        <w:adjustRightInd/>
        <w:snapToGrid/>
        <w:spacing w:line="460" w:lineRule="exac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打开</w:t>
      </w:r>
      <w:r>
        <w:rPr>
          <w:rFonts w:hint="eastAsia" w:ascii="仿宋_GB2312" w:hAnsi="仿宋_GB2312" w:eastAsia="仿宋_GB2312" w:cs="仿宋_GB2312"/>
          <w:color w:val="auto"/>
          <w:sz w:val="28"/>
          <w:szCs w:val="28"/>
          <w:u w:val="none"/>
        </w:rPr>
        <w:fldChar w:fldCharType="begin"/>
      </w:r>
      <w:r>
        <w:rPr>
          <w:rStyle w:val="12"/>
          <w:rFonts w:hint="eastAsia" w:ascii="仿宋_GB2312" w:hAnsi="仿宋_GB2312" w:eastAsia="仿宋_GB2312" w:cs="仿宋_GB2312"/>
          <w:color w:val="auto"/>
          <w:sz w:val="28"/>
          <w:szCs w:val="28"/>
          <w:u w:val="none"/>
        </w:rPr>
        <w:instrText xml:space="preserve">HYPERLINK "http://gxwskjw.wsglw.net/"</w:instrText>
      </w:r>
      <w:r>
        <w:rPr>
          <w:rFonts w:hint="eastAsia" w:ascii="仿宋_GB2312" w:hAnsi="仿宋_GB2312" w:eastAsia="仿宋_GB2312" w:cs="仿宋_GB2312"/>
          <w:color w:val="auto"/>
          <w:sz w:val="28"/>
          <w:szCs w:val="28"/>
          <w:u w:val="none"/>
        </w:rPr>
        <w:fldChar w:fldCharType="separate"/>
      </w:r>
      <w:r>
        <w:rPr>
          <w:rStyle w:val="12"/>
          <w:rFonts w:hint="eastAsia" w:ascii="仿宋_GB2312" w:hAnsi="仿宋_GB2312" w:eastAsia="仿宋_GB2312" w:cs="仿宋_GB2312"/>
          <w:color w:val="auto"/>
          <w:sz w:val="28"/>
          <w:szCs w:val="28"/>
          <w:u w:val="none"/>
        </w:rPr>
        <w:t>http://gxwskjw.wsglw.net/</w:t>
      </w:r>
      <w:r>
        <w:rPr>
          <w:rFonts w:hint="eastAsia" w:ascii="仿宋_GB2312" w:hAnsi="仿宋_GB2312" w:eastAsia="仿宋_GB2312" w:cs="仿宋_GB2312"/>
          <w:color w:val="auto"/>
          <w:sz w:val="28"/>
          <w:szCs w:val="28"/>
        </w:rPr>
        <w:fldChar w:fldCharType="end"/>
      </w:r>
      <w:r>
        <w:rPr>
          <w:rFonts w:hint="eastAsia" w:ascii="仿宋_GB2312" w:hAnsi="仿宋_GB2312" w:eastAsia="仿宋_GB2312" w:cs="仿宋_GB2312"/>
          <w:color w:val="auto"/>
          <w:sz w:val="28"/>
          <w:szCs w:val="28"/>
        </w:rPr>
        <w:t>，选择“继教管理登录入口”输入单位的用户名和密码，登录以后，在继续医学教育管理----继教活动-项目管理-----点击“添加”，建立新的项目。</w:t>
      </w:r>
    </w:p>
    <w:p w14:paraId="15971610">
      <w:pPr>
        <w:pStyle w:val="15"/>
        <w:keepNext w:val="0"/>
        <w:keepLines w:val="0"/>
        <w:pageBreakBefore w:val="0"/>
        <w:widowControl w:val="0"/>
        <w:kinsoku/>
        <w:wordWrap/>
        <w:overflowPunct/>
        <w:topLinePunct w:val="0"/>
        <w:autoSpaceDE/>
        <w:autoSpaceDN/>
        <w:bidi w:val="0"/>
        <w:adjustRightInd/>
        <w:snapToGrid/>
        <w:spacing w:line="240" w:lineRule="auto"/>
        <w:ind w:left="363" w:firstLine="0" w:firstLineChars="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drawing>
          <wp:inline distT="0" distB="0" distL="114300" distR="114300">
            <wp:extent cx="4914265" cy="1969770"/>
            <wp:effectExtent l="0" t="0" r="635" b="11430"/>
            <wp:docPr id="1" name="图片 9" descr="1108330271588754709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9" descr="1108330271588754709686"/>
                    <pic:cNvPicPr>
                      <a:picLocks noChangeAspect="1"/>
                    </pic:cNvPicPr>
                  </pic:nvPicPr>
                  <pic:blipFill>
                    <a:blip r:embed="rId5"/>
                    <a:stretch>
                      <a:fillRect/>
                    </a:stretch>
                  </pic:blipFill>
                  <pic:spPr>
                    <a:xfrm>
                      <a:off x="0" y="0"/>
                      <a:ext cx="4914265" cy="1969770"/>
                    </a:xfrm>
                    <a:prstGeom prst="rect">
                      <a:avLst/>
                    </a:prstGeom>
                    <a:noFill/>
                    <a:ln>
                      <a:noFill/>
                    </a:ln>
                  </pic:spPr>
                </pic:pic>
              </a:graphicData>
            </a:graphic>
          </wp:inline>
        </w:drawing>
      </w:r>
    </w:p>
    <w:p w14:paraId="7DD282B4">
      <w:pPr>
        <w:pStyle w:val="15"/>
        <w:keepNext w:val="0"/>
        <w:keepLines w:val="0"/>
        <w:pageBreakBefore w:val="0"/>
        <w:kinsoku/>
        <w:wordWrap/>
        <w:overflowPunct/>
        <w:topLinePunct w:val="0"/>
        <w:autoSpaceDE/>
        <w:autoSpaceDN/>
        <w:bidi w:val="0"/>
        <w:adjustRightInd/>
        <w:snapToGrid/>
        <w:spacing w:line="460" w:lineRule="exact"/>
        <w:ind w:left="360" w:firstLine="0" w:firstLineChars="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p>
    <w:p w14:paraId="335649B5">
      <w:pPr>
        <w:pStyle w:val="15"/>
        <w:keepNext w:val="0"/>
        <w:keepLines w:val="0"/>
        <w:pageBreakBefore w:val="0"/>
        <w:kinsoku/>
        <w:wordWrap/>
        <w:overflowPunct/>
        <w:topLinePunct w:val="0"/>
        <w:autoSpaceDE/>
        <w:autoSpaceDN/>
        <w:bidi w:val="0"/>
        <w:adjustRightInd/>
        <w:snapToGrid/>
        <w:spacing w:line="460" w:lineRule="exact"/>
        <w:ind w:left="360" w:firstLine="0" w:firstLineChars="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其中项目编号这一块，点击“选择导入”即可以查到已经获得审批的项目编号。</w:t>
      </w:r>
    </w:p>
    <w:p w14:paraId="5CDA1247">
      <w:pPr>
        <w:pStyle w:val="4"/>
        <w:keepNext w:val="0"/>
        <w:keepLines w:val="0"/>
        <w:pageBreakBefore w:val="0"/>
        <w:kinsoku/>
        <w:wordWrap/>
        <w:overflowPunct/>
        <w:topLinePunct w:val="0"/>
        <w:autoSpaceDE/>
        <w:autoSpaceDN/>
        <w:bidi w:val="0"/>
        <w:adjustRightInd/>
        <w:snapToGrid/>
        <w:spacing w:line="460" w:lineRule="exact"/>
        <w:ind w:left="0"/>
        <w:jc w:val="left"/>
        <w:textAlignment w:val="auto"/>
        <w:outlineLvl w:val="9"/>
        <w:rPr>
          <w:rFonts w:hint="eastAsia" w:ascii="仿宋_GB2312" w:hAnsi="仿宋_GB2312" w:eastAsia="仿宋_GB2312" w:cs="仿宋_GB2312"/>
          <w:color w:val="auto"/>
          <w:sz w:val="28"/>
          <w:szCs w:val="28"/>
        </w:rPr>
      </w:pPr>
    </w:p>
    <w:p w14:paraId="70BE9AC2">
      <w:pPr>
        <w:pStyle w:val="15"/>
        <w:keepNext w:val="0"/>
        <w:keepLines w:val="0"/>
        <w:pageBreakBefore w:val="0"/>
        <w:widowControl w:val="0"/>
        <w:kinsoku/>
        <w:wordWrap/>
        <w:overflowPunct/>
        <w:topLinePunct w:val="0"/>
        <w:autoSpaceDE/>
        <w:autoSpaceDN/>
        <w:bidi w:val="0"/>
        <w:adjustRightInd/>
        <w:snapToGrid/>
        <w:spacing w:line="240" w:lineRule="auto"/>
        <w:ind w:left="363" w:firstLine="0" w:firstLineChars="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drawing>
          <wp:inline distT="0" distB="0" distL="114300" distR="114300">
            <wp:extent cx="4759325" cy="2204085"/>
            <wp:effectExtent l="0" t="0" r="3175" b="5715"/>
            <wp:docPr id="2" name="图片 10" descr="3118475551588754709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0" descr="3118475551588754709748"/>
                    <pic:cNvPicPr>
                      <a:picLocks noChangeAspect="1"/>
                    </pic:cNvPicPr>
                  </pic:nvPicPr>
                  <pic:blipFill>
                    <a:blip r:embed="rId6"/>
                    <a:stretch>
                      <a:fillRect/>
                    </a:stretch>
                  </pic:blipFill>
                  <pic:spPr>
                    <a:xfrm>
                      <a:off x="0" y="0"/>
                      <a:ext cx="4759325" cy="2204085"/>
                    </a:xfrm>
                    <a:prstGeom prst="rect">
                      <a:avLst/>
                    </a:prstGeom>
                    <a:noFill/>
                    <a:ln>
                      <a:noFill/>
                    </a:ln>
                  </pic:spPr>
                </pic:pic>
              </a:graphicData>
            </a:graphic>
          </wp:inline>
        </w:drawing>
      </w:r>
    </w:p>
    <w:p w14:paraId="2B0CCEF0">
      <w:pPr>
        <w:pStyle w:val="4"/>
        <w:keepNext w:val="0"/>
        <w:keepLines w:val="0"/>
        <w:pageBreakBefore w:val="0"/>
        <w:kinsoku/>
        <w:wordWrap/>
        <w:overflowPunct/>
        <w:topLinePunct w:val="0"/>
        <w:autoSpaceDE/>
        <w:autoSpaceDN/>
        <w:bidi w:val="0"/>
        <w:adjustRightInd/>
        <w:snapToGrid/>
        <w:spacing w:line="460" w:lineRule="exact"/>
        <w:ind w:left="0"/>
        <w:textAlignment w:val="auto"/>
        <w:outlineLvl w:val="9"/>
        <w:rPr>
          <w:rFonts w:hint="eastAsia" w:ascii="仿宋_GB2312" w:hAnsi="仿宋_GB2312" w:eastAsia="仿宋_GB2312" w:cs="仿宋_GB2312"/>
          <w:color w:val="auto"/>
          <w:sz w:val="28"/>
          <w:szCs w:val="28"/>
        </w:rPr>
      </w:pPr>
    </w:p>
    <w:p w14:paraId="3A875139">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r>
        <w:rPr>
          <w:rFonts w:hint="eastAsia" w:ascii="仿宋_GB2312" w:hAnsi="仿宋_GB2312" w:eastAsia="仿宋_GB2312" w:cs="仿宋_GB2312"/>
          <w:color w:val="auto"/>
          <w:sz w:val="28"/>
          <w:szCs w:val="28"/>
        </w:rPr>
        <w:drawing>
          <wp:inline distT="0" distB="0" distL="114300" distR="114300">
            <wp:extent cx="4759960" cy="2387600"/>
            <wp:effectExtent l="0" t="0" r="2540" b="12700"/>
            <wp:docPr id="3" name="图片 11" descr="414428181588754709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1" descr="414428181588754709764"/>
                    <pic:cNvPicPr>
                      <a:picLocks noChangeAspect="1"/>
                    </pic:cNvPicPr>
                  </pic:nvPicPr>
                  <pic:blipFill>
                    <a:blip r:embed="rId7"/>
                    <a:stretch>
                      <a:fillRect/>
                    </a:stretch>
                  </pic:blipFill>
                  <pic:spPr>
                    <a:xfrm>
                      <a:off x="0" y="0"/>
                      <a:ext cx="4759960" cy="2387600"/>
                    </a:xfrm>
                    <a:prstGeom prst="rect">
                      <a:avLst/>
                    </a:prstGeom>
                    <a:noFill/>
                    <a:ln>
                      <a:noFill/>
                    </a:ln>
                  </pic:spPr>
                </pic:pic>
              </a:graphicData>
            </a:graphic>
          </wp:inline>
        </w:drawing>
      </w:r>
    </w:p>
    <w:p w14:paraId="65252938">
      <w:pPr>
        <w:keepNext w:val="0"/>
        <w:keepLines w:val="0"/>
        <w:pageBreakBefore w:val="0"/>
        <w:kinsoku/>
        <w:wordWrap/>
        <w:overflowPunct/>
        <w:topLinePunct w:val="0"/>
        <w:autoSpaceDE/>
        <w:autoSpaceDN/>
        <w:bidi w:val="0"/>
        <w:adjustRightInd/>
        <w:snapToGrid/>
        <w:spacing w:line="460" w:lineRule="exac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选择要举办的项目，把其它的信息的填写完整。项目信息添加完成以后，选择“二维码考勤”</w:t>
      </w:r>
    </w:p>
    <w:p w14:paraId="66898675">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drawing>
          <wp:inline distT="0" distB="0" distL="114300" distR="114300">
            <wp:extent cx="5122545" cy="1663700"/>
            <wp:effectExtent l="0" t="0" r="1905" b="12700"/>
            <wp:docPr id="4" name="图片 12" descr="C:\Users\ADMINI~1\AppData\Local\Temp\158795313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2" descr="C:\Users\ADMINI~1\AppData\Local\Temp\1587953138(1).png"/>
                    <pic:cNvPicPr>
                      <a:picLocks noChangeAspect="1"/>
                    </pic:cNvPicPr>
                  </pic:nvPicPr>
                  <pic:blipFill>
                    <a:blip r:embed="rId8"/>
                    <a:stretch>
                      <a:fillRect/>
                    </a:stretch>
                  </pic:blipFill>
                  <pic:spPr>
                    <a:xfrm>
                      <a:off x="0" y="0"/>
                      <a:ext cx="5122545" cy="1663700"/>
                    </a:xfrm>
                    <a:prstGeom prst="rect">
                      <a:avLst/>
                    </a:prstGeom>
                    <a:noFill/>
                    <a:ln>
                      <a:noFill/>
                    </a:ln>
                  </pic:spPr>
                </pic:pic>
              </a:graphicData>
            </a:graphic>
          </wp:inline>
        </w:drawing>
      </w:r>
    </w:p>
    <w:p w14:paraId="2AD1F6AB">
      <w:pPr>
        <w:keepNext w:val="0"/>
        <w:keepLines w:val="0"/>
        <w:pageBreakBefore w:val="0"/>
        <w:kinsoku/>
        <w:wordWrap/>
        <w:overflowPunct/>
        <w:topLinePunct w:val="0"/>
        <w:autoSpaceDE/>
        <w:autoSpaceDN/>
        <w:bidi w:val="0"/>
        <w:adjustRightInd/>
        <w:snapToGrid/>
        <w:spacing w:line="460" w:lineRule="exac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打开“掌上华医”APP，用自已的用户名密码登录以后，点击右上角的扫一扫，对着该项目的二维码进行扫码考勤，</w:t>
      </w:r>
    </w:p>
    <w:p w14:paraId="1F3803B4">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drawing>
          <wp:inline distT="0" distB="0" distL="114300" distR="114300">
            <wp:extent cx="5146040" cy="3077210"/>
            <wp:effectExtent l="0" t="0" r="16510" b="8890"/>
            <wp:docPr id="5" name="图片 13" descr="C:\Users\Administrator\AppData\Roaming\Tencent\Users\563229903\QQ\WinTemp\RichOle\BEF64}NOOVZBDDK]53PXX]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3" descr="C:\Users\Administrator\AppData\Roaming\Tencent\Users\563229903\QQ\WinTemp\RichOle\BEF64}NOOVZBDDK]53PXX]X.png"/>
                    <pic:cNvPicPr>
                      <a:picLocks noChangeAspect="1"/>
                    </pic:cNvPicPr>
                  </pic:nvPicPr>
                  <pic:blipFill>
                    <a:blip r:embed="rId9"/>
                    <a:stretch>
                      <a:fillRect/>
                    </a:stretch>
                  </pic:blipFill>
                  <pic:spPr>
                    <a:xfrm>
                      <a:off x="0" y="0"/>
                      <a:ext cx="5146040" cy="3077210"/>
                    </a:xfrm>
                    <a:prstGeom prst="rect">
                      <a:avLst/>
                    </a:prstGeom>
                    <a:noFill/>
                    <a:ln>
                      <a:noFill/>
                    </a:ln>
                  </pic:spPr>
                </pic:pic>
              </a:graphicData>
            </a:graphic>
          </wp:inline>
        </w:drawing>
      </w:r>
    </w:p>
    <w:p w14:paraId="6C4B367A">
      <w:pPr>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扫码完成以后，选择项目参加者授分，</w:t>
      </w:r>
      <w:r>
        <w:rPr>
          <w:rFonts w:hint="eastAsia" w:ascii="仿宋_GB2312" w:hAnsi="仿宋_GB2312" w:eastAsia="仿宋_GB2312" w:cs="仿宋_GB2312"/>
          <w:color w:val="auto"/>
          <w:kern w:val="0"/>
          <w:sz w:val="28"/>
          <w:szCs w:val="28"/>
        </w:rPr>
        <w:drawing>
          <wp:inline distT="0" distB="0" distL="114300" distR="114300">
            <wp:extent cx="5225415" cy="1675130"/>
            <wp:effectExtent l="0" t="0" r="13335" b="1270"/>
            <wp:docPr id="6" name="图片 14" descr="C:\Users\Administrator\AppData\Roaming\Tencent\Users\563229903\QQ\WinTemp\RichOle\}3G5}BC0`ER`@02834K}$8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4" descr="C:\Users\Administrator\AppData\Roaming\Tencent\Users\563229903\QQ\WinTemp\RichOle\}3G5}BC0`ER`@02834K}$8L.png"/>
                    <pic:cNvPicPr>
                      <a:picLocks noChangeAspect="1"/>
                    </pic:cNvPicPr>
                  </pic:nvPicPr>
                  <pic:blipFill>
                    <a:blip r:embed="rId10"/>
                    <a:stretch>
                      <a:fillRect/>
                    </a:stretch>
                  </pic:blipFill>
                  <pic:spPr>
                    <a:xfrm>
                      <a:off x="0" y="0"/>
                      <a:ext cx="5225415" cy="1675130"/>
                    </a:xfrm>
                    <a:prstGeom prst="rect">
                      <a:avLst/>
                    </a:prstGeom>
                    <a:noFill/>
                    <a:ln>
                      <a:noFill/>
                    </a:ln>
                  </pic:spPr>
                </pic:pic>
              </a:graphicData>
            </a:graphic>
          </wp:inline>
        </w:drawing>
      </w:r>
    </w:p>
    <w:p w14:paraId="30C487D6">
      <w:pPr>
        <w:keepNext w:val="0"/>
        <w:keepLines w:val="0"/>
        <w:pageBreakBefore w:val="0"/>
        <w:widowControl w:val="0"/>
        <w:kinsoku/>
        <w:wordWrap/>
        <w:overflowPunct/>
        <w:topLinePunct w:val="0"/>
        <w:autoSpaceDE/>
        <w:autoSpaceDN/>
        <w:bidi w:val="0"/>
        <w:adjustRightInd/>
        <w:snapToGrid/>
        <w:spacing w:before="157" w:beforeLines="50" w:line="460" w:lineRule="exact"/>
        <w:jc w:val="left"/>
        <w:textAlignment w:val="auto"/>
        <w:outlineLvl w:val="9"/>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给主讲人和参加者分别授分</w:t>
      </w:r>
    </w:p>
    <w:p w14:paraId="6C3B2C52">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drawing>
          <wp:inline distT="0" distB="0" distL="114300" distR="114300">
            <wp:extent cx="5332095" cy="2529205"/>
            <wp:effectExtent l="0" t="0" r="1905" b="4445"/>
            <wp:docPr id="7" name="图片 15" descr="C:\Users\Administrator\AppData\Roaming\Tencent\Users\563229903\QQ\WinTemp\RichOle\]`A}ZK}]~G4JEWY[(~TW7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5" descr="C:\Users\Administrator\AppData\Roaming\Tencent\Users\563229903\QQ\WinTemp\RichOle\]`A}ZK}]~G4JEWY[(~TW772.png"/>
                    <pic:cNvPicPr>
                      <a:picLocks noChangeAspect="1"/>
                    </pic:cNvPicPr>
                  </pic:nvPicPr>
                  <pic:blipFill>
                    <a:blip r:embed="rId11"/>
                    <a:stretch>
                      <a:fillRect/>
                    </a:stretch>
                  </pic:blipFill>
                  <pic:spPr>
                    <a:xfrm>
                      <a:off x="0" y="0"/>
                      <a:ext cx="5332095" cy="2529205"/>
                    </a:xfrm>
                    <a:prstGeom prst="rect">
                      <a:avLst/>
                    </a:prstGeom>
                    <a:noFill/>
                    <a:ln>
                      <a:noFill/>
                    </a:ln>
                  </pic:spPr>
                </pic:pic>
              </a:graphicData>
            </a:graphic>
          </wp:inline>
        </w:drawing>
      </w:r>
    </w:p>
    <w:p w14:paraId="3ACD2FAB">
      <w:pPr>
        <w:keepNext w:val="0"/>
        <w:keepLines w:val="0"/>
        <w:pageBreakBefore w:val="0"/>
        <w:widowControl/>
        <w:kinsoku/>
        <w:wordWrap/>
        <w:overflowPunct/>
        <w:topLinePunct w:val="0"/>
        <w:autoSpaceDE/>
        <w:autoSpaceDN/>
        <w:bidi w:val="0"/>
        <w:adjustRightInd/>
        <w:snapToGrid/>
        <w:spacing w:before="157" w:beforeLines="50" w:line="460" w:lineRule="exact"/>
        <w:jc w:val="left"/>
        <w:textAlignment w:val="auto"/>
        <w:outlineLvl w:val="9"/>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授分完成以后：在统计查询---项目明细查询模块可以查到该项目的参加人员明细。并可以导出存档备案。</w:t>
      </w:r>
    </w:p>
    <w:p w14:paraId="7212F8AE">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drawing>
          <wp:inline distT="0" distB="0" distL="114300" distR="114300">
            <wp:extent cx="5321300" cy="2473325"/>
            <wp:effectExtent l="0" t="0" r="12700" b="3175"/>
            <wp:docPr id="8" name="图片 16" descr="C:\Users\Administrator\AppData\Roaming\Tencent\Users\563229903\QQ\WinTemp\RichOle\M~S{P(I8NXR]O$58%8LWQT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6" descr="C:\Users\Administrator\AppData\Roaming\Tencent\Users\563229903\QQ\WinTemp\RichOle\M~S{P(I8NXR]O$58%8LWQT3.png"/>
                    <pic:cNvPicPr>
                      <a:picLocks noChangeAspect="1"/>
                    </pic:cNvPicPr>
                  </pic:nvPicPr>
                  <pic:blipFill>
                    <a:blip r:embed="rId12"/>
                    <a:stretch>
                      <a:fillRect/>
                    </a:stretch>
                  </pic:blipFill>
                  <pic:spPr>
                    <a:xfrm>
                      <a:off x="0" y="0"/>
                      <a:ext cx="5321300" cy="2473325"/>
                    </a:xfrm>
                    <a:prstGeom prst="rect">
                      <a:avLst/>
                    </a:prstGeom>
                    <a:noFill/>
                    <a:ln>
                      <a:noFill/>
                    </a:ln>
                  </pic:spPr>
                </pic:pic>
              </a:graphicData>
            </a:graphic>
          </wp:inline>
        </w:drawing>
      </w:r>
    </w:p>
    <w:p w14:paraId="36F09B8D">
      <w:pPr>
        <w:keepNext w:val="0"/>
        <w:keepLines w:val="0"/>
        <w:pageBreakBefore w:val="0"/>
        <w:widowControl/>
        <w:kinsoku/>
        <w:wordWrap/>
        <w:overflowPunct/>
        <w:topLinePunct w:val="0"/>
        <w:autoSpaceDE/>
        <w:autoSpaceDN/>
        <w:bidi w:val="0"/>
        <w:adjustRightInd/>
        <w:snapToGrid/>
        <w:spacing w:line="460" w:lineRule="exact"/>
        <w:jc w:val="left"/>
        <w:textAlignment w:val="auto"/>
        <w:outlineLvl w:val="9"/>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项目举办完成以后，需要在单位的继教申报系统填写完项目执行情况反馈，只有经过广西</w:t>
      </w:r>
      <w:r>
        <w:rPr>
          <w:rFonts w:hint="eastAsia" w:ascii="仿宋_GB2312" w:hAnsi="仿宋_GB2312" w:eastAsia="仿宋_GB2312" w:cs="仿宋_GB2312"/>
          <w:color w:val="auto"/>
          <w:kern w:val="0"/>
          <w:sz w:val="28"/>
          <w:szCs w:val="28"/>
          <w:lang w:eastAsia="zh-CN"/>
        </w:rPr>
        <w:t>壮族</w:t>
      </w:r>
      <w:r>
        <w:rPr>
          <w:rFonts w:hint="eastAsia" w:ascii="仿宋_GB2312" w:hAnsi="仿宋_GB2312" w:eastAsia="仿宋_GB2312" w:cs="仿宋_GB2312"/>
          <w:color w:val="auto"/>
          <w:kern w:val="0"/>
          <w:sz w:val="28"/>
          <w:szCs w:val="28"/>
        </w:rPr>
        <w:t>自治区卫生健康</w:t>
      </w:r>
      <w:r>
        <w:rPr>
          <w:rFonts w:hint="eastAsia" w:ascii="仿宋_GB2312" w:hAnsi="仿宋_GB2312" w:eastAsia="仿宋_GB2312" w:cs="仿宋_GB2312"/>
          <w:color w:val="auto"/>
          <w:kern w:val="0"/>
          <w:sz w:val="28"/>
          <w:szCs w:val="28"/>
          <w:lang w:eastAsia="zh-CN"/>
        </w:rPr>
        <w:t>委员会</w:t>
      </w:r>
      <w:bookmarkStart w:id="0" w:name="_GoBack"/>
      <w:bookmarkEnd w:id="0"/>
      <w:r>
        <w:rPr>
          <w:rFonts w:hint="eastAsia" w:ascii="仿宋_GB2312" w:hAnsi="仿宋_GB2312" w:eastAsia="仿宋_GB2312" w:cs="仿宋_GB2312"/>
          <w:color w:val="auto"/>
          <w:kern w:val="0"/>
          <w:sz w:val="28"/>
          <w:szCs w:val="28"/>
        </w:rPr>
        <w:t>科教处的审核，才能最终确定该项目的分值。举办时间及效果没有达到该项目申报时的要求，卫健委科教处可以降低该项目的得分甚至取消得分。技术指导：陈家兴</w:t>
      </w:r>
      <w:r>
        <w:rPr>
          <w:rFonts w:hint="eastAsia" w:ascii="仿宋_GB2312" w:hAnsi="仿宋_GB2312" w:eastAsia="仿宋_GB2312" w:cs="仿宋_GB2312"/>
          <w:color w:val="auto"/>
          <w:kern w:val="0"/>
          <w:sz w:val="28"/>
          <w:szCs w:val="28"/>
          <w:lang w:eastAsia="zh-CN"/>
        </w:rPr>
        <w:t>、</w:t>
      </w:r>
      <w:r>
        <w:rPr>
          <w:rFonts w:hint="eastAsia" w:ascii="仿宋_GB2312" w:hAnsi="仿宋_GB2312" w:eastAsia="仿宋_GB2312" w:cs="仿宋_GB2312"/>
          <w:color w:val="auto"/>
          <w:kern w:val="0"/>
          <w:sz w:val="28"/>
          <w:szCs w:val="28"/>
        </w:rPr>
        <w:t>张荣乐。</w:t>
      </w:r>
    </w:p>
    <w:p w14:paraId="330CF0CF">
      <w:pPr>
        <w:jc w:val="center"/>
        <w:rPr>
          <w:rFonts w:hint="eastAsia" w:ascii="宋体"/>
          <w:b/>
          <w:color w:val="auto"/>
          <w:sz w:val="28"/>
          <w:szCs w:val="28"/>
        </w:rPr>
      </w:pPr>
    </w:p>
    <w:p w14:paraId="776906A8">
      <w:pPr>
        <w:rPr>
          <w:rFonts w:hint="eastAsia" w:ascii="黑体" w:hAnsi="黑体" w:eastAsia="黑体" w:cs="黑体"/>
          <w:b w:val="0"/>
          <w:bCs/>
          <w:color w:val="auto"/>
          <w:sz w:val="32"/>
          <w:szCs w:val="32"/>
        </w:rPr>
      </w:pPr>
      <w:r>
        <w:rPr>
          <w:rFonts w:hint="eastAsia" w:ascii="宋体"/>
          <w:b/>
          <w:color w:val="auto"/>
          <w:sz w:val="28"/>
          <w:szCs w:val="28"/>
        </w:rPr>
        <w:br w:type="page"/>
      </w:r>
      <w:r>
        <w:rPr>
          <w:rFonts w:hint="eastAsia" w:ascii="黑体" w:hAnsi="黑体" w:eastAsia="黑体" w:cs="黑体"/>
          <w:b w:val="0"/>
          <w:bCs/>
          <w:color w:val="auto"/>
          <w:sz w:val="32"/>
          <w:szCs w:val="32"/>
        </w:rPr>
        <w:t xml:space="preserve">附件2 </w:t>
      </w:r>
    </w:p>
    <w:p w14:paraId="08DC50EB">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黑体" w:hAnsi="黑体" w:eastAsia="黑体" w:cs="黑体"/>
          <w:b w:val="0"/>
          <w:bCs/>
          <w:color w:val="auto"/>
          <w:sz w:val="32"/>
          <w:szCs w:val="32"/>
        </w:rPr>
      </w:pPr>
    </w:p>
    <w:p w14:paraId="54745288">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方正小标宋简体" w:hAnsi="方正小标宋简体" w:eastAsia="方正小标宋简体" w:cs="方正小标宋简体"/>
          <w:b w:val="0"/>
          <w:bCs/>
          <w:color w:val="auto"/>
          <w:sz w:val="44"/>
          <w:szCs w:val="44"/>
        </w:rPr>
      </w:pPr>
      <w:r>
        <w:rPr>
          <w:rFonts w:hint="eastAsia" w:ascii="方正小标宋简体" w:hAnsi="方正小标宋简体" w:eastAsia="方正小标宋简体" w:cs="方正小标宋简体"/>
          <w:b w:val="0"/>
          <w:bCs/>
          <w:color w:val="auto"/>
          <w:sz w:val="44"/>
          <w:szCs w:val="44"/>
        </w:rPr>
        <w:t>广西继续医学教育学分管理规定</w:t>
      </w:r>
    </w:p>
    <w:p w14:paraId="373640C2">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32"/>
          <w:szCs w:val="32"/>
        </w:rPr>
      </w:pPr>
    </w:p>
    <w:p w14:paraId="53D0BB86">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一、学分要求</w:t>
      </w:r>
    </w:p>
    <w:p w14:paraId="5FBC06FC">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继续医学教育实行学分制，要求继续医学教育对象每年参加继续医学教育活动。</w:t>
      </w:r>
    </w:p>
    <w:p w14:paraId="093EA87D">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w:t>
      </w:r>
      <w:r>
        <w:rPr>
          <w:rFonts w:hint="eastAsia" w:ascii="仿宋_GB2312" w:hAnsi="仿宋_GB2312" w:eastAsia="仿宋_GB2312" w:cs="仿宋_GB2312"/>
          <w:color w:val="auto"/>
          <w:kern w:val="0"/>
          <w:sz w:val="32"/>
          <w:szCs w:val="32"/>
        </w:rPr>
        <w:t>县级以上医疗卫生机构医务人员</w:t>
      </w:r>
      <w:r>
        <w:rPr>
          <w:rFonts w:hint="eastAsia" w:ascii="仿宋_GB2312" w:hAnsi="仿宋_GB2312" w:eastAsia="仿宋_GB2312" w:cs="仿宋_GB2312"/>
          <w:color w:val="auto"/>
          <w:sz w:val="32"/>
          <w:szCs w:val="32"/>
        </w:rPr>
        <w:t>每年达标标准为25分，当年内的I类跟II类学分可以相互补充，补充比例不得超过该类别学分的50%。其中一类不低于2.5分，II类不低于7.5分，总分不低于25分。五年内通过参加国家级继续医学教育项目获得的学分数不得低于10学分。</w:t>
      </w:r>
    </w:p>
    <w:p w14:paraId="18C5F5A5">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w:t>
      </w:r>
      <w:r>
        <w:rPr>
          <w:rFonts w:hint="eastAsia" w:ascii="仿宋_GB2312" w:hAnsi="仿宋_GB2312" w:eastAsia="仿宋_GB2312" w:cs="仿宋_GB2312"/>
          <w:color w:val="auto"/>
          <w:kern w:val="0"/>
          <w:sz w:val="32"/>
          <w:szCs w:val="32"/>
        </w:rPr>
        <w:t>县级及</w:t>
      </w:r>
      <w:r>
        <w:rPr>
          <w:rFonts w:hint="eastAsia" w:ascii="仿宋_GB2312" w:hAnsi="仿宋_GB2312" w:eastAsia="仿宋_GB2312" w:cs="仿宋_GB2312"/>
          <w:color w:val="auto"/>
          <w:kern w:val="0"/>
          <w:sz w:val="32"/>
          <w:szCs w:val="32"/>
          <w:lang w:val="en-US" w:eastAsia="zh-CN"/>
        </w:rPr>
        <w:t>县级</w:t>
      </w:r>
      <w:r>
        <w:rPr>
          <w:rFonts w:hint="eastAsia" w:ascii="仿宋_GB2312" w:hAnsi="仿宋_GB2312" w:eastAsia="仿宋_GB2312" w:cs="仿宋_GB2312"/>
          <w:color w:val="auto"/>
          <w:kern w:val="0"/>
          <w:sz w:val="32"/>
          <w:szCs w:val="32"/>
        </w:rPr>
        <w:t>以下医疗卫生机构医务人员</w:t>
      </w:r>
      <w:r>
        <w:rPr>
          <w:rFonts w:hint="eastAsia" w:ascii="仿宋_GB2312" w:hAnsi="仿宋_GB2312" w:eastAsia="仿宋_GB2312" w:cs="仿宋_GB2312"/>
          <w:color w:val="auto"/>
          <w:sz w:val="32"/>
          <w:szCs w:val="32"/>
        </w:rPr>
        <w:t>每年达标标准为20分，取消县级及</w:t>
      </w:r>
      <w:r>
        <w:rPr>
          <w:rFonts w:hint="eastAsia" w:ascii="仿宋_GB2312" w:hAnsi="仿宋_GB2312" w:eastAsia="仿宋_GB2312" w:cs="仿宋_GB2312"/>
          <w:color w:val="auto"/>
          <w:kern w:val="0"/>
          <w:sz w:val="32"/>
          <w:szCs w:val="32"/>
          <w:lang w:val="en-US" w:eastAsia="zh-CN"/>
        </w:rPr>
        <w:t>县级</w:t>
      </w:r>
      <w:r>
        <w:rPr>
          <w:rFonts w:hint="eastAsia" w:ascii="仿宋_GB2312" w:hAnsi="仿宋_GB2312" w:eastAsia="仿宋_GB2312" w:cs="仿宋_GB2312"/>
          <w:color w:val="auto"/>
          <w:sz w:val="32"/>
          <w:szCs w:val="32"/>
        </w:rPr>
        <w:t>以下医疗卫生机构医务人员I，II类学分的划分。</w:t>
      </w:r>
    </w:p>
    <w:p w14:paraId="0018B69B">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（三）乡村医生每年获得的学分数不低于8分。</w:t>
      </w:r>
    </w:p>
    <w:p w14:paraId="374E3D8E">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（四）取消</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继续医学教育对象每年获得远程继续医学教育学分不超过10分</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的规定。</w:t>
      </w:r>
    </w:p>
    <w:p w14:paraId="4DAEAF2F">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（五）经单位批准，到外单位进修（含出国培训、援外）6个月及其以上，经考核合格者，视为完成当年规定的25学分（按I类学分5分，Ⅱ类20学分计算，学分所属年度归属进修时段最长的所在年度）</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不足6个月的，按每一个月授予II类学分3分计算。</w:t>
      </w:r>
    </w:p>
    <w:p w14:paraId="7E210888">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（六）参加住院医师规范化培训、专科医师规范化培训、助理全科医师培训、累计培训6个月及以上考核合格者，可视为当年继续医学教育学分合格。</w:t>
      </w:r>
    </w:p>
    <w:p w14:paraId="5B9798D4">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二、学分分类</w:t>
      </w:r>
    </w:p>
    <w:p w14:paraId="241D7DEE">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继续医学教育的学分分为Ⅰ类学分和Ⅱ类学分两类。</w:t>
      </w:r>
    </w:p>
    <w:p w14:paraId="6FD46C00">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楷体_GB2312" w:hAnsi="楷体_GB2312" w:eastAsia="楷体_GB2312" w:cs="楷体_GB2312"/>
          <w:b w:val="0"/>
          <w:bCs w:val="0"/>
          <w:color w:val="auto"/>
          <w:sz w:val="32"/>
          <w:szCs w:val="32"/>
          <w:lang w:eastAsia="zh-CN"/>
        </w:rPr>
      </w:pPr>
      <w:r>
        <w:rPr>
          <w:rFonts w:hint="eastAsia" w:ascii="楷体_GB2312" w:hAnsi="楷体_GB2312" w:eastAsia="楷体_GB2312" w:cs="楷体_GB2312"/>
          <w:b w:val="0"/>
          <w:bCs w:val="0"/>
          <w:color w:val="auto"/>
          <w:sz w:val="32"/>
          <w:szCs w:val="32"/>
        </w:rPr>
        <w:t>（一）Ⅰ类学分</w:t>
      </w:r>
      <w:r>
        <w:rPr>
          <w:rFonts w:hint="eastAsia" w:ascii="楷体_GB2312" w:hAnsi="楷体_GB2312" w:eastAsia="楷体_GB2312" w:cs="楷体_GB2312"/>
          <w:b w:val="0"/>
          <w:bCs w:val="0"/>
          <w:color w:val="auto"/>
          <w:sz w:val="32"/>
          <w:szCs w:val="32"/>
          <w:lang w:eastAsia="zh-CN"/>
        </w:rPr>
        <w:t>。</w:t>
      </w:r>
    </w:p>
    <w:p w14:paraId="78AD48D0">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国家级继续医学教育项目和自治区（省）级继续医学教育项目可授予I类学分。</w:t>
      </w:r>
    </w:p>
    <w:p w14:paraId="6C29E84B">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bCs/>
          <w:color w:val="auto"/>
          <w:sz w:val="32"/>
          <w:szCs w:val="32"/>
          <w:lang w:eastAsia="zh-CN"/>
        </w:rPr>
        <w:t>　</w:t>
      </w:r>
      <w:r>
        <w:rPr>
          <w:rFonts w:hint="eastAsia" w:ascii="仿宋_GB2312" w:hAnsi="仿宋_GB2312" w:eastAsia="仿宋_GB2312" w:cs="仿宋_GB2312"/>
          <w:b w:val="0"/>
          <w:bCs w:val="0"/>
          <w:color w:val="auto"/>
          <w:sz w:val="32"/>
          <w:szCs w:val="32"/>
          <w:lang w:eastAsia="zh-CN"/>
        </w:rPr>
        <w:t>　</w:t>
      </w:r>
      <w:r>
        <w:rPr>
          <w:rFonts w:hint="eastAsia" w:ascii="仿宋_GB2312" w:hAnsi="仿宋_GB2312" w:eastAsia="仿宋_GB2312" w:cs="仿宋_GB2312"/>
          <w:b w:val="0"/>
          <w:bCs w:val="0"/>
          <w:color w:val="auto"/>
          <w:sz w:val="32"/>
          <w:szCs w:val="32"/>
        </w:rPr>
        <w:t>1</w:t>
      </w:r>
      <w:r>
        <w:rPr>
          <w:rFonts w:hint="eastAsia" w:ascii="仿宋_GB2312" w:hAnsi="仿宋_GB2312" w:eastAsia="仿宋_GB2312" w:cs="仿宋_GB2312"/>
          <w:b w:val="0"/>
          <w:bCs w:val="0"/>
          <w:color w:val="auto"/>
          <w:sz w:val="32"/>
          <w:szCs w:val="32"/>
          <w:lang w:val="en-US" w:eastAsia="zh-CN"/>
        </w:rPr>
        <w:t>.</w:t>
      </w:r>
      <w:r>
        <w:rPr>
          <w:rFonts w:hint="eastAsia" w:ascii="仿宋_GB2312" w:hAnsi="仿宋_GB2312" w:eastAsia="仿宋_GB2312" w:cs="仿宋_GB2312"/>
          <w:b w:val="0"/>
          <w:bCs w:val="0"/>
          <w:color w:val="auto"/>
          <w:sz w:val="32"/>
          <w:szCs w:val="32"/>
        </w:rPr>
        <w:t>国家级继续医学教育项目</w:t>
      </w:r>
      <w:r>
        <w:rPr>
          <w:rFonts w:hint="eastAsia" w:ascii="仿宋_GB2312" w:hAnsi="仿宋_GB2312" w:eastAsia="仿宋_GB2312" w:cs="仿宋_GB2312"/>
          <w:b w:val="0"/>
          <w:bCs w:val="0"/>
          <w:color w:val="auto"/>
          <w:sz w:val="32"/>
          <w:szCs w:val="32"/>
          <w:lang w:eastAsia="zh-CN"/>
        </w:rPr>
        <w:t>。</w:t>
      </w:r>
    </w:p>
    <w:p w14:paraId="62C6C9D8">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lang w:eastAsia="zh-CN"/>
        </w:rPr>
        <w:t>　　</w:t>
      </w:r>
      <w:r>
        <w:rPr>
          <w:rFonts w:hint="eastAsia" w:ascii="仿宋_GB2312" w:hAnsi="仿宋_GB2312" w:eastAsia="仿宋_GB2312" w:cs="仿宋_GB2312"/>
          <w:b w:val="0"/>
          <w:bCs w:val="0"/>
          <w:color w:val="auto"/>
          <w:sz w:val="32"/>
          <w:szCs w:val="32"/>
        </w:rPr>
        <w:t>（1）全国继续医学教育委员会评审，由国家卫生健康委员会批准和公布的项目。</w:t>
      </w:r>
    </w:p>
    <w:p w14:paraId="0FFF06B2">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lang w:eastAsia="zh-CN"/>
        </w:rPr>
        <w:t>　　</w:t>
      </w:r>
      <w:r>
        <w:rPr>
          <w:rFonts w:hint="eastAsia" w:ascii="仿宋_GB2312" w:hAnsi="仿宋_GB2312" w:eastAsia="仿宋_GB2312" w:cs="仿宋_GB2312"/>
          <w:b w:val="0"/>
          <w:bCs w:val="0"/>
          <w:color w:val="auto"/>
          <w:sz w:val="32"/>
          <w:szCs w:val="32"/>
        </w:rPr>
        <w:t>（2）国家级继续医学教育基地举办，由国家卫生健康委员会公布的项目。</w:t>
      </w:r>
    </w:p>
    <w:p w14:paraId="2927C2D1">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rPr>
        <w:t>2</w:t>
      </w:r>
      <w:r>
        <w:rPr>
          <w:rFonts w:hint="eastAsia" w:ascii="仿宋_GB2312" w:hAnsi="仿宋_GB2312" w:eastAsia="仿宋_GB2312" w:cs="仿宋_GB2312"/>
          <w:b w:val="0"/>
          <w:bCs w:val="0"/>
          <w:color w:val="auto"/>
          <w:sz w:val="32"/>
          <w:szCs w:val="32"/>
          <w:lang w:val="en-US" w:eastAsia="zh-CN"/>
        </w:rPr>
        <w:t>.</w:t>
      </w:r>
      <w:r>
        <w:rPr>
          <w:rFonts w:hint="eastAsia" w:ascii="仿宋_GB2312" w:hAnsi="仿宋_GB2312" w:eastAsia="仿宋_GB2312" w:cs="仿宋_GB2312"/>
          <w:b w:val="0"/>
          <w:bCs w:val="0"/>
          <w:color w:val="auto"/>
          <w:sz w:val="32"/>
          <w:szCs w:val="32"/>
        </w:rPr>
        <w:t>自治区级继续医学教育项目</w:t>
      </w:r>
      <w:r>
        <w:rPr>
          <w:rFonts w:hint="eastAsia" w:ascii="仿宋_GB2312" w:hAnsi="仿宋_GB2312" w:eastAsia="仿宋_GB2312" w:cs="仿宋_GB2312"/>
          <w:b w:val="0"/>
          <w:bCs w:val="0"/>
          <w:color w:val="auto"/>
          <w:sz w:val="32"/>
          <w:szCs w:val="32"/>
          <w:lang w:eastAsia="zh-CN"/>
        </w:rPr>
        <w:t>。</w:t>
      </w:r>
    </w:p>
    <w:p w14:paraId="3DE00EB3">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lang w:eastAsia="zh-CN"/>
        </w:rPr>
        <w:t>　　</w:t>
      </w:r>
      <w:r>
        <w:rPr>
          <w:rFonts w:hint="eastAsia" w:ascii="仿宋_GB2312" w:hAnsi="仿宋_GB2312" w:eastAsia="仿宋_GB2312" w:cs="仿宋_GB2312"/>
          <w:b w:val="0"/>
          <w:bCs w:val="0"/>
          <w:color w:val="auto"/>
          <w:sz w:val="32"/>
          <w:szCs w:val="32"/>
        </w:rPr>
        <w:t>（1）广西继续医学教育委员会评审，由广西壮族自治区卫生健康委员会批准和公布的项目。</w:t>
      </w:r>
    </w:p>
    <w:p w14:paraId="5E98FCE6">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（2）自治区级继续医学教育基地举办，由广西壮族自治区卫生健康委员会评审公布的项目。</w:t>
      </w:r>
    </w:p>
    <w:p w14:paraId="28E0DC16">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（3）中华医学会、中华口腔学会、中华预防医学会、中华护理学会等一级学科学会及全国继续医学教育委员会批准的远程医学教育机构向广西壮族自治区继续医学教育委员会备案的项目。</w:t>
      </w:r>
    </w:p>
    <w:p w14:paraId="117C3DBF">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楷体_GB2312" w:hAnsi="楷体_GB2312" w:eastAsia="楷体_GB2312" w:cs="楷体_GB2312"/>
          <w:b w:val="0"/>
          <w:bCs w:val="0"/>
          <w:color w:val="auto"/>
          <w:sz w:val="32"/>
          <w:szCs w:val="32"/>
          <w:lang w:eastAsia="zh-CN"/>
        </w:rPr>
      </w:pPr>
      <w:r>
        <w:rPr>
          <w:rFonts w:hint="eastAsia" w:ascii="楷体_GB2312" w:hAnsi="楷体_GB2312" w:eastAsia="楷体_GB2312" w:cs="楷体_GB2312"/>
          <w:b w:val="0"/>
          <w:bCs w:val="0"/>
          <w:color w:val="auto"/>
          <w:sz w:val="32"/>
          <w:szCs w:val="32"/>
        </w:rPr>
        <w:t>（二）Ⅱ类学分</w:t>
      </w:r>
      <w:r>
        <w:rPr>
          <w:rFonts w:hint="eastAsia" w:ascii="楷体_GB2312" w:hAnsi="楷体_GB2312" w:eastAsia="楷体_GB2312" w:cs="楷体_GB2312"/>
          <w:b w:val="0"/>
          <w:bCs w:val="0"/>
          <w:color w:val="auto"/>
          <w:sz w:val="32"/>
          <w:szCs w:val="32"/>
          <w:lang w:eastAsia="zh-CN"/>
        </w:rPr>
        <w:t>。</w:t>
      </w:r>
    </w:p>
    <w:p w14:paraId="2EAAA672">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自学、发表论文、科研立项、科技成果和单位组织的学术活动等其它形式的继续医学教育活动授予Ⅱ类学分。</w:t>
      </w:r>
    </w:p>
    <w:p w14:paraId="6A33DE58">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lang w:eastAsia="zh-CN"/>
        </w:rPr>
        <w:t>　　</w:t>
      </w:r>
      <w:r>
        <w:rPr>
          <w:rFonts w:hint="eastAsia" w:ascii="黑体" w:hAnsi="黑体" w:eastAsia="黑体" w:cs="黑体"/>
          <w:b w:val="0"/>
          <w:bCs w:val="0"/>
          <w:color w:val="auto"/>
          <w:sz w:val="32"/>
          <w:szCs w:val="32"/>
        </w:rPr>
        <w:t>三、学分授予标准</w:t>
      </w:r>
    </w:p>
    <w:p w14:paraId="798A4276">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楷体_GB2312" w:hAnsi="楷体_GB2312" w:eastAsia="楷体_GB2312" w:cs="楷体_GB2312"/>
          <w:b w:val="0"/>
          <w:bCs w:val="0"/>
          <w:color w:val="auto"/>
          <w:sz w:val="32"/>
          <w:szCs w:val="32"/>
          <w:lang w:eastAsia="zh-CN"/>
        </w:rPr>
      </w:pPr>
      <w:r>
        <w:rPr>
          <w:rFonts w:hint="eastAsia" w:ascii="楷体_GB2312" w:hAnsi="楷体_GB2312" w:eastAsia="楷体_GB2312" w:cs="楷体_GB2312"/>
          <w:b w:val="0"/>
          <w:bCs w:val="0"/>
          <w:color w:val="auto"/>
          <w:sz w:val="32"/>
          <w:szCs w:val="32"/>
        </w:rPr>
        <w:t>（一）I类学分计算方法</w:t>
      </w:r>
      <w:r>
        <w:rPr>
          <w:rFonts w:hint="eastAsia" w:ascii="楷体_GB2312" w:hAnsi="楷体_GB2312" w:eastAsia="楷体_GB2312" w:cs="楷体_GB2312"/>
          <w:b w:val="0"/>
          <w:bCs w:val="0"/>
          <w:color w:val="auto"/>
          <w:sz w:val="32"/>
          <w:szCs w:val="32"/>
          <w:lang w:eastAsia="zh-CN"/>
        </w:rPr>
        <w:t>。</w:t>
      </w:r>
    </w:p>
    <w:p w14:paraId="48AA8C82">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参加国家级继续医学教育项目活动，参加者经考核合格，按3学时授予1学分；主讲人每学时授予2学分。</w:t>
      </w:r>
    </w:p>
    <w:p w14:paraId="3552D0B5">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参加自治区（省）级继续医学教育项目活动，参加者经考核合格，按6学时授予1学分。每天最多按10学时计算学分，不包括学员签到和撤离时间。主讲人按每学时授予1学分。</w:t>
      </w:r>
    </w:p>
    <w:p w14:paraId="6BD71D00">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上述1、2中每个项目所授学分最多不超过10学分。</w:t>
      </w:r>
    </w:p>
    <w:p w14:paraId="20E4F1D7">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rPr>
        <w:t>（二）Ⅱ类学分计算方法</w:t>
      </w:r>
      <w:r>
        <w:rPr>
          <w:rFonts w:hint="eastAsia" w:ascii="楷体_GB2312" w:hAnsi="楷体_GB2312" w:eastAsia="楷体_GB2312" w:cs="楷体_GB2312"/>
          <w:b w:val="0"/>
          <w:bCs w:val="0"/>
          <w:color w:val="auto"/>
          <w:sz w:val="32"/>
          <w:szCs w:val="32"/>
          <w:lang w:val="en-US" w:eastAsia="zh-CN"/>
        </w:rPr>
        <w:t>。</w:t>
      </w:r>
    </w:p>
    <w:p w14:paraId="5A7E855D">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自学。自学是继续医学教育的一种重要形式，凡自学与本学科专业有关的知识者，应制定出自学计划，经本科室领导同意后执行。并写出综述，经审核，每2000字可授予1学分，但每年最多不超过5学分。</w:t>
      </w:r>
    </w:p>
    <w:p w14:paraId="07CCCC72">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2</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由全国继续医学教育委员会或广西继续医学教育委员会制定或指定的杂志、音像、光盘等形式的有关四新的自学资料，学习后经考核，按委员会规定的学分授予标准授予学分，每年最多不超过5学分。</w:t>
      </w:r>
    </w:p>
    <w:p w14:paraId="744AB1BC">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在刊物上发表论文和综述，按以下类别计算学分：</w:t>
      </w:r>
    </w:p>
    <w:tbl>
      <w:tblPr>
        <w:tblStyle w:val="10"/>
        <w:tblW w:w="0" w:type="auto"/>
        <w:tblInd w:w="-1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1"/>
        <w:gridCol w:w="1701"/>
        <w:gridCol w:w="1560"/>
        <w:gridCol w:w="1701"/>
        <w:gridCol w:w="1275"/>
      </w:tblGrid>
      <w:tr w14:paraId="552CC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1" w:type="dxa"/>
            <w:noWrap w:val="0"/>
            <w:vAlign w:val="center"/>
          </w:tcPr>
          <w:p w14:paraId="06970E0C">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刊物类别</w:t>
            </w:r>
          </w:p>
        </w:tc>
        <w:tc>
          <w:tcPr>
            <w:tcW w:w="1701" w:type="dxa"/>
            <w:noWrap w:val="0"/>
            <w:vAlign w:val="center"/>
          </w:tcPr>
          <w:p w14:paraId="7B9A9870">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第一作者</w:t>
            </w:r>
          </w:p>
        </w:tc>
        <w:tc>
          <w:tcPr>
            <w:tcW w:w="1560" w:type="dxa"/>
            <w:noWrap w:val="0"/>
            <w:vAlign w:val="center"/>
          </w:tcPr>
          <w:p w14:paraId="5B86A979">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第二作者</w:t>
            </w:r>
          </w:p>
        </w:tc>
        <w:tc>
          <w:tcPr>
            <w:tcW w:w="1701" w:type="dxa"/>
            <w:noWrap w:val="0"/>
            <w:vAlign w:val="center"/>
          </w:tcPr>
          <w:p w14:paraId="7318F31D">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第三作者</w:t>
            </w:r>
          </w:p>
        </w:tc>
        <w:tc>
          <w:tcPr>
            <w:tcW w:w="1275" w:type="dxa"/>
            <w:noWrap w:val="0"/>
            <w:vAlign w:val="center"/>
          </w:tcPr>
          <w:p w14:paraId="2E5D14FF">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余类推</w:t>
            </w:r>
          </w:p>
        </w:tc>
      </w:tr>
      <w:tr w14:paraId="34245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1" w:type="dxa"/>
            <w:noWrap w:val="0"/>
            <w:vAlign w:val="center"/>
          </w:tcPr>
          <w:p w14:paraId="4DA1D950">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国外刊物</w:t>
            </w:r>
          </w:p>
        </w:tc>
        <w:tc>
          <w:tcPr>
            <w:tcW w:w="1701" w:type="dxa"/>
            <w:noWrap w:val="0"/>
            <w:vAlign w:val="center"/>
          </w:tcPr>
          <w:p w14:paraId="2D012B7E">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10</w:t>
            </w:r>
          </w:p>
        </w:tc>
        <w:tc>
          <w:tcPr>
            <w:tcW w:w="1560" w:type="dxa"/>
            <w:noWrap w:val="0"/>
            <w:vAlign w:val="center"/>
          </w:tcPr>
          <w:p w14:paraId="1E357174">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w:t>
            </w:r>
          </w:p>
        </w:tc>
        <w:tc>
          <w:tcPr>
            <w:tcW w:w="1701" w:type="dxa"/>
            <w:noWrap w:val="0"/>
            <w:vAlign w:val="center"/>
          </w:tcPr>
          <w:p w14:paraId="1A6D5347">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w:t>
            </w:r>
          </w:p>
        </w:tc>
        <w:tc>
          <w:tcPr>
            <w:tcW w:w="1275" w:type="dxa"/>
            <w:noWrap w:val="0"/>
            <w:vAlign w:val="center"/>
          </w:tcPr>
          <w:p w14:paraId="1D2B2AFE">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p>
        </w:tc>
      </w:tr>
      <w:tr w14:paraId="51D8B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1" w:type="dxa"/>
            <w:noWrap w:val="0"/>
            <w:vAlign w:val="center"/>
          </w:tcPr>
          <w:p w14:paraId="6F7E04DE">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具有国际标准刊号（ISSN）国内统一刊号（CN）的刊物</w:t>
            </w:r>
          </w:p>
        </w:tc>
        <w:tc>
          <w:tcPr>
            <w:tcW w:w="1701" w:type="dxa"/>
            <w:noWrap w:val="0"/>
            <w:vAlign w:val="center"/>
          </w:tcPr>
          <w:p w14:paraId="03B7AED8">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p>
        </w:tc>
        <w:tc>
          <w:tcPr>
            <w:tcW w:w="1560" w:type="dxa"/>
            <w:noWrap w:val="0"/>
            <w:vAlign w:val="center"/>
          </w:tcPr>
          <w:p w14:paraId="6F90C3B8">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1701" w:type="dxa"/>
            <w:noWrap w:val="0"/>
            <w:vAlign w:val="center"/>
          </w:tcPr>
          <w:p w14:paraId="018A297E">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1275" w:type="dxa"/>
            <w:noWrap w:val="0"/>
            <w:vAlign w:val="center"/>
          </w:tcPr>
          <w:p w14:paraId="31FA9715">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p>
        </w:tc>
      </w:tr>
      <w:tr w14:paraId="27284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1" w:type="dxa"/>
            <w:noWrap w:val="0"/>
            <w:vAlign w:val="center"/>
          </w:tcPr>
          <w:p w14:paraId="266CCC7F">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省级刊物</w:t>
            </w:r>
          </w:p>
        </w:tc>
        <w:tc>
          <w:tcPr>
            <w:tcW w:w="1701" w:type="dxa"/>
            <w:noWrap w:val="0"/>
            <w:vAlign w:val="center"/>
          </w:tcPr>
          <w:p w14:paraId="1EEBC178">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1560" w:type="dxa"/>
            <w:noWrap w:val="0"/>
            <w:vAlign w:val="center"/>
          </w:tcPr>
          <w:p w14:paraId="0C83FE0E">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1701" w:type="dxa"/>
            <w:noWrap w:val="0"/>
            <w:vAlign w:val="center"/>
          </w:tcPr>
          <w:p w14:paraId="00D60DA6">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p>
        </w:tc>
        <w:tc>
          <w:tcPr>
            <w:tcW w:w="1275" w:type="dxa"/>
            <w:noWrap w:val="0"/>
            <w:vAlign w:val="center"/>
          </w:tcPr>
          <w:p w14:paraId="44550A41">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p>
        </w:tc>
      </w:tr>
      <w:tr w14:paraId="37828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1" w:type="dxa"/>
            <w:noWrap w:val="0"/>
            <w:vAlign w:val="center"/>
          </w:tcPr>
          <w:p w14:paraId="6B65E438">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地（市）级刊物</w:t>
            </w:r>
          </w:p>
        </w:tc>
        <w:tc>
          <w:tcPr>
            <w:tcW w:w="1701" w:type="dxa"/>
            <w:noWrap w:val="0"/>
            <w:vAlign w:val="center"/>
          </w:tcPr>
          <w:p w14:paraId="4FD7A41F">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1560" w:type="dxa"/>
            <w:noWrap w:val="0"/>
            <w:vAlign w:val="center"/>
          </w:tcPr>
          <w:p w14:paraId="3381620F">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p>
        </w:tc>
        <w:tc>
          <w:tcPr>
            <w:tcW w:w="1701" w:type="dxa"/>
            <w:noWrap w:val="0"/>
            <w:vAlign w:val="center"/>
          </w:tcPr>
          <w:p w14:paraId="4F9A5A89">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p>
        </w:tc>
        <w:tc>
          <w:tcPr>
            <w:tcW w:w="1275" w:type="dxa"/>
            <w:noWrap w:val="0"/>
            <w:vAlign w:val="center"/>
          </w:tcPr>
          <w:p w14:paraId="7E31AB15">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p>
        </w:tc>
      </w:tr>
      <w:tr w14:paraId="3C5B1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1" w:type="dxa"/>
            <w:noWrap w:val="0"/>
            <w:vAlign w:val="center"/>
          </w:tcPr>
          <w:p w14:paraId="4768EF20">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内部刊物</w:t>
            </w:r>
          </w:p>
        </w:tc>
        <w:tc>
          <w:tcPr>
            <w:tcW w:w="1701" w:type="dxa"/>
            <w:noWrap w:val="0"/>
            <w:vAlign w:val="center"/>
          </w:tcPr>
          <w:p w14:paraId="1F89FB04">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p>
        </w:tc>
        <w:tc>
          <w:tcPr>
            <w:tcW w:w="1560" w:type="dxa"/>
            <w:noWrap w:val="0"/>
            <w:vAlign w:val="center"/>
          </w:tcPr>
          <w:p w14:paraId="4524D68A">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p>
        </w:tc>
        <w:tc>
          <w:tcPr>
            <w:tcW w:w="1701" w:type="dxa"/>
            <w:noWrap w:val="0"/>
            <w:vAlign w:val="center"/>
          </w:tcPr>
          <w:p w14:paraId="6DC4AFAF">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p>
        </w:tc>
        <w:tc>
          <w:tcPr>
            <w:tcW w:w="1275" w:type="dxa"/>
            <w:noWrap w:val="0"/>
            <w:vAlign w:val="center"/>
          </w:tcPr>
          <w:p w14:paraId="463C3951">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_GB2312" w:hAnsi="仿宋_GB2312" w:eastAsia="仿宋_GB2312" w:cs="仿宋_GB2312"/>
                <w:color w:val="auto"/>
                <w:sz w:val="28"/>
                <w:szCs w:val="28"/>
              </w:rPr>
            </w:pPr>
          </w:p>
        </w:tc>
      </w:tr>
    </w:tbl>
    <w:p w14:paraId="7480ECC0">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4</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科研项目：</w:t>
      </w:r>
    </w:p>
    <w:p w14:paraId="5F7699F1">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已批准立项的科研项目，在立项当年按以下标准授予学分：</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7"/>
        <w:gridCol w:w="1016"/>
        <w:gridCol w:w="1016"/>
        <w:gridCol w:w="1049"/>
        <w:gridCol w:w="1016"/>
        <w:gridCol w:w="1016"/>
        <w:gridCol w:w="1596"/>
      </w:tblGrid>
      <w:tr w14:paraId="60620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27" w:type="dxa"/>
            <w:noWrap w:val="0"/>
            <w:vAlign w:val="top"/>
          </w:tcPr>
          <w:p w14:paraId="09099015">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黑体" w:hAnsi="黑体" w:eastAsia="黑体" w:cs="黑体"/>
                <w:color w:val="auto"/>
                <w:sz w:val="28"/>
                <w:szCs w:val="28"/>
              </w:rPr>
            </w:pPr>
          </w:p>
        </w:tc>
        <w:tc>
          <w:tcPr>
            <w:tcW w:w="5113" w:type="dxa"/>
            <w:gridSpan w:val="5"/>
            <w:noWrap w:val="0"/>
            <w:vAlign w:val="top"/>
          </w:tcPr>
          <w:p w14:paraId="54F0CBB8">
            <w:pPr>
              <w:keepNext w:val="0"/>
              <w:keepLines w:val="0"/>
              <w:pageBreakBefore w:val="0"/>
              <w:widowControl w:val="0"/>
              <w:kinsoku/>
              <w:wordWrap/>
              <w:overflowPunct/>
              <w:topLinePunct w:val="0"/>
              <w:autoSpaceDE/>
              <w:autoSpaceDN/>
              <w:bidi w:val="0"/>
              <w:spacing w:line="560" w:lineRule="exact"/>
              <w:ind w:firstLine="1120" w:firstLineChars="400"/>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课题组成员排序</w:t>
            </w:r>
          </w:p>
        </w:tc>
        <w:tc>
          <w:tcPr>
            <w:tcW w:w="1596" w:type="dxa"/>
            <w:noWrap w:val="0"/>
            <w:vAlign w:val="top"/>
          </w:tcPr>
          <w:p w14:paraId="0385DAE6">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余类推</w:t>
            </w:r>
          </w:p>
        </w:tc>
      </w:tr>
      <w:tr w14:paraId="26C7E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27" w:type="dxa"/>
            <w:noWrap w:val="0"/>
            <w:vAlign w:val="top"/>
          </w:tcPr>
          <w:p w14:paraId="6ECAE046">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课题类别</w:t>
            </w:r>
          </w:p>
        </w:tc>
        <w:tc>
          <w:tcPr>
            <w:tcW w:w="1016" w:type="dxa"/>
            <w:noWrap w:val="0"/>
            <w:vAlign w:val="top"/>
          </w:tcPr>
          <w:p w14:paraId="713F9553">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w:t>
            </w:r>
          </w:p>
        </w:tc>
        <w:tc>
          <w:tcPr>
            <w:tcW w:w="1016" w:type="dxa"/>
            <w:noWrap w:val="0"/>
            <w:vAlign w:val="top"/>
          </w:tcPr>
          <w:p w14:paraId="38840C96">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p>
        </w:tc>
        <w:tc>
          <w:tcPr>
            <w:tcW w:w="1049" w:type="dxa"/>
            <w:noWrap w:val="0"/>
            <w:vAlign w:val="top"/>
          </w:tcPr>
          <w:p w14:paraId="5FDD3F63">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p>
        </w:tc>
        <w:tc>
          <w:tcPr>
            <w:tcW w:w="1016" w:type="dxa"/>
            <w:noWrap w:val="0"/>
            <w:vAlign w:val="top"/>
          </w:tcPr>
          <w:p w14:paraId="56AD86CA">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1016" w:type="dxa"/>
            <w:noWrap w:val="0"/>
            <w:vAlign w:val="top"/>
          </w:tcPr>
          <w:p w14:paraId="4B5ADA5A">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1596" w:type="dxa"/>
            <w:noWrap w:val="0"/>
            <w:vAlign w:val="top"/>
          </w:tcPr>
          <w:p w14:paraId="2ACE1158">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p>
        </w:tc>
      </w:tr>
      <w:tr w14:paraId="17952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27" w:type="dxa"/>
            <w:noWrap w:val="0"/>
            <w:vAlign w:val="top"/>
          </w:tcPr>
          <w:p w14:paraId="4D88D8BE">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国家级课题</w:t>
            </w:r>
          </w:p>
        </w:tc>
        <w:tc>
          <w:tcPr>
            <w:tcW w:w="1016" w:type="dxa"/>
            <w:noWrap w:val="0"/>
            <w:vAlign w:val="top"/>
          </w:tcPr>
          <w:p w14:paraId="4083FF83">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10</w:t>
            </w:r>
          </w:p>
        </w:tc>
        <w:tc>
          <w:tcPr>
            <w:tcW w:w="1016" w:type="dxa"/>
            <w:noWrap w:val="0"/>
            <w:vAlign w:val="top"/>
          </w:tcPr>
          <w:p w14:paraId="1728D415">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9</w:t>
            </w:r>
          </w:p>
        </w:tc>
        <w:tc>
          <w:tcPr>
            <w:tcW w:w="1049" w:type="dxa"/>
            <w:noWrap w:val="0"/>
            <w:vAlign w:val="top"/>
          </w:tcPr>
          <w:p w14:paraId="1F022481">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w:t>
            </w:r>
          </w:p>
        </w:tc>
        <w:tc>
          <w:tcPr>
            <w:tcW w:w="1016" w:type="dxa"/>
            <w:noWrap w:val="0"/>
            <w:vAlign w:val="top"/>
          </w:tcPr>
          <w:p w14:paraId="18790775">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w:t>
            </w:r>
          </w:p>
        </w:tc>
        <w:tc>
          <w:tcPr>
            <w:tcW w:w="1016" w:type="dxa"/>
            <w:noWrap w:val="0"/>
            <w:vAlign w:val="top"/>
          </w:tcPr>
          <w:p w14:paraId="11942EB1">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p>
        </w:tc>
        <w:tc>
          <w:tcPr>
            <w:tcW w:w="1596" w:type="dxa"/>
            <w:noWrap w:val="0"/>
            <w:vAlign w:val="top"/>
          </w:tcPr>
          <w:p w14:paraId="70A5851B">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p>
        </w:tc>
      </w:tr>
      <w:tr w14:paraId="532B3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027" w:type="dxa"/>
            <w:noWrap w:val="0"/>
            <w:vAlign w:val="top"/>
          </w:tcPr>
          <w:p w14:paraId="6261112C">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省、部级课题</w:t>
            </w:r>
          </w:p>
        </w:tc>
        <w:tc>
          <w:tcPr>
            <w:tcW w:w="1016" w:type="dxa"/>
            <w:noWrap w:val="0"/>
            <w:vAlign w:val="top"/>
          </w:tcPr>
          <w:p w14:paraId="550B98AD">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w:t>
            </w:r>
          </w:p>
        </w:tc>
        <w:tc>
          <w:tcPr>
            <w:tcW w:w="1016" w:type="dxa"/>
            <w:noWrap w:val="0"/>
            <w:vAlign w:val="top"/>
          </w:tcPr>
          <w:p w14:paraId="1D6C167E">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w:t>
            </w:r>
          </w:p>
        </w:tc>
        <w:tc>
          <w:tcPr>
            <w:tcW w:w="1049" w:type="dxa"/>
            <w:noWrap w:val="0"/>
            <w:vAlign w:val="top"/>
          </w:tcPr>
          <w:p w14:paraId="78F987FD">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p>
        </w:tc>
        <w:tc>
          <w:tcPr>
            <w:tcW w:w="1016" w:type="dxa"/>
            <w:noWrap w:val="0"/>
            <w:vAlign w:val="top"/>
          </w:tcPr>
          <w:p w14:paraId="2824691F">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1016" w:type="dxa"/>
            <w:noWrap w:val="0"/>
            <w:vAlign w:val="top"/>
          </w:tcPr>
          <w:p w14:paraId="077112B7">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1596" w:type="dxa"/>
            <w:noWrap w:val="0"/>
            <w:vAlign w:val="top"/>
          </w:tcPr>
          <w:p w14:paraId="1DBBE57A">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p>
        </w:tc>
      </w:tr>
      <w:tr w14:paraId="6BCCC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27" w:type="dxa"/>
            <w:noWrap w:val="0"/>
            <w:vAlign w:val="top"/>
          </w:tcPr>
          <w:p w14:paraId="43157F32">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市、厅级课题</w:t>
            </w:r>
          </w:p>
        </w:tc>
        <w:tc>
          <w:tcPr>
            <w:tcW w:w="1016" w:type="dxa"/>
            <w:noWrap w:val="0"/>
            <w:vAlign w:val="top"/>
          </w:tcPr>
          <w:p w14:paraId="646CB8D4">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p>
        </w:tc>
        <w:tc>
          <w:tcPr>
            <w:tcW w:w="1016" w:type="dxa"/>
            <w:noWrap w:val="0"/>
            <w:vAlign w:val="top"/>
          </w:tcPr>
          <w:p w14:paraId="669F4B2C">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1049" w:type="dxa"/>
            <w:noWrap w:val="0"/>
            <w:vAlign w:val="top"/>
          </w:tcPr>
          <w:p w14:paraId="1ED78B84">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1016" w:type="dxa"/>
            <w:noWrap w:val="0"/>
            <w:vAlign w:val="top"/>
          </w:tcPr>
          <w:p w14:paraId="4F1C4B4D">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p>
        </w:tc>
        <w:tc>
          <w:tcPr>
            <w:tcW w:w="1016" w:type="dxa"/>
            <w:noWrap w:val="0"/>
            <w:vAlign w:val="top"/>
          </w:tcPr>
          <w:p w14:paraId="1467F301">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p>
        </w:tc>
        <w:tc>
          <w:tcPr>
            <w:tcW w:w="1596" w:type="dxa"/>
            <w:noWrap w:val="0"/>
            <w:vAlign w:val="top"/>
          </w:tcPr>
          <w:p w14:paraId="271DAB42">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p>
        </w:tc>
      </w:tr>
    </w:tbl>
    <w:p w14:paraId="293E46C8">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p>
    <w:p w14:paraId="002B4164">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科研成果：</w:t>
      </w:r>
    </w:p>
    <w:p w14:paraId="24FA892E">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（1）国家级成果奖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第1-第7完成人（余类推）</w:t>
      </w:r>
    </w:p>
    <w:p w14:paraId="167501D0">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一等奖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25-19（最低10分）</w:t>
      </w:r>
    </w:p>
    <w:p w14:paraId="5E20C87D">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二等奖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20-14（最低8分）</w:t>
      </w:r>
    </w:p>
    <w:p w14:paraId="62FE68B7">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三等奖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18-12（最低6分）</w:t>
      </w:r>
    </w:p>
    <w:p w14:paraId="1B427A24">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（2）省（部）级成果奖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第1-第5完成人（余类推）</w:t>
      </w:r>
    </w:p>
    <w:p w14:paraId="3CE91E55">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一等奖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15-11（最低6分）</w:t>
      </w:r>
    </w:p>
    <w:p w14:paraId="79BE6CB0">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二等奖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10-6（最低5分）</w:t>
      </w:r>
    </w:p>
    <w:p w14:paraId="3B3D48C7">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三等奖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8-4（最低3分）</w:t>
      </w:r>
    </w:p>
    <w:p w14:paraId="3CA50A05">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（3）厅级成果奖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第1-第5完成人（余类推）</w:t>
      </w:r>
    </w:p>
    <w:p w14:paraId="0202149D">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一等奖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10-6（最低5分）</w:t>
      </w:r>
    </w:p>
    <w:p w14:paraId="166E758E">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二等奖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8-4（最低4分）</w:t>
      </w:r>
    </w:p>
    <w:p w14:paraId="68E15EED">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三等奖</w:t>
      </w: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6-2（最低2分）</w:t>
      </w:r>
    </w:p>
    <w:p w14:paraId="5F00B476">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6</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出版医学著作，每编写1000字授予1学分。</w:t>
      </w:r>
    </w:p>
    <w:p w14:paraId="33E505B5">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出国考察报告、国内专题调研报告，每3000字授予1学分。</w:t>
      </w:r>
    </w:p>
    <w:p w14:paraId="0E0538CE">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8</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发表医学译文每1500汉字授予1学分。</w:t>
      </w:r>
    </w:p>
    <w:p w14:paraId="6E54E8DD">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auto"/>
          <w:sz w:val="32"/>
          <w:szCs w:val="32"/>
        </w:rPr>
        <w:t>9</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由单位组织的学术报告、专题讲座、技术操作示教、手术示范、新技术推广等，每次主讲人可授予</w:t>
      </w:r>
      <w:r>
        <w:rPr>
          <w:rFonts w:hint="eastAsia" w:ascii="仿宋_GB2312" w:hAnsi="仿宋_GB2312" w:eastAsia="仿宋_GB2312" w:cs="仿宋_GB2312"/>
          <w:b/>
          <w:color w:val="auto"/>
          <w:sz w:val="32"/>
          <w:szCs w:val="32"/>
          <w:lang w:val="en-US" w:eastAsia="zh-CN"/>
        </w:rPr>
        <w:t>2</w:t>
      </w:r>
      <w:r>
        <w:rPr>
          <w:rFonts w:hint="eastAsia" w:ascii="仿宋_GB2312" w:hAnsi="仿宋_GB2312" w:eastAsia="仿宋_GB2312" w:cs="仿宋_GB2312"/>
          <w:color w:val="auto"/>
          <w:sz w:val="32"/>
          <w:szCs w:val="32"/>
        </w:rPr>
        <w:t>学分，参加者授予0.5学分，全年所获得的该类学分，最多不超过</w:t>
      </w:r>
      <w:r>
        <w:rPr>
          <w:rFonts w:hint="eastAsia" w:ascii="仿宋_GB2312" w:hAnsi="仿宋_GB2312" w:eastAsia="仿宋_GB2312" w:cs="仿宋_GB2312"/>
          <w:b/>
          <w:color w:val="000000"/>
          <w:sz w:val="32"/>
          <w:szCs w:val="32"/>
          <w:lang w:val="en-US" w:eastAsia="zh-CN"/>
        </w:rPr>
        <w:t>8</w:t>
      </w:r>
      <w:r>
        <w:rPr>
          <w:rFonts w:hint="eastAsia" w:ascii="仿宋_GB2312" w:hAnsi="仿宋_GB2312" w:eastAsia="仿宋_GB2312" w:cs="仿宋_GB2312"/>
          <w:color w:val="000000"/>
          <w:sz w:val="32"/>
          <w:szCs w:val="32"/>
        </w:rPr>
        <w:t>学分。临床病理讨论会、多科室组织的案例讨论会、大查房，每次主讲人可授予</w:t>
      </w:r>
      <w:r>
        <w:rPr>
          <w:rFonts w:hint="eastAsia" w:ascii="仿宋_GB2312" w:hAnsi="仿宋_GB2312" w:eastAsia="仿宋_GB2312" w:cs="仿宋_GB2312"/>
          <w:b/>
          <w:color w:val="000000"/>
          <w:sz w:val="32"/>
          <w:szCs w:val="32"/>
        </w:rPr>
        <w:t>0.5</w:t>
      </w:r>
      <w:r>
        <w:rPr>
          <w:rFonts w:hint="eastAsia" w:ascii="仿宋_GB2312" w:hAnsi="仿宋_GB2312" w:eastAsia="仿宋_GB2312" w:cs="仿宋_GB2312"/>
          <w:color w:val="000000"/>
          <w:sz w:val="32"/>
          <w:szCs w:val="32"/>
        </w:rPr>
        <w:t>学分，参加者授予0.2学分。参加者全年所获得的该类学分，最多不超过</w:t>
      </w:r>
      <w:r>
        <w:rPr>
          <w:rFonts w:hint="eastAsia" w:ascii="仿宋_GB2312" w:hAnsi="仿宋_GB2312" w:eastAsia="仿宋_GB2312" w:cs="仿宋_GB2312"/>
          <w:b/>
          <w:color w:val="000000"/>
          <w:sz w:val="32"/>
          <w:szCs w:val="32"/>
          <w:lang w:val="en-US" w:eastAsia="zh-CN"/>
        </w:rPr>
        <w:t>8</w:t>
      </w:r>
      <w:r>
        <w:rPr>
          <w:rFonts w:hint="eastAsia" w:ascii="仿宋_GB2312" w:hAnsi="仿宋_GB2312" w:eastAsia="仿宋_GB2312" w:cs="仿宋_GB2312"/>
          <w:color w:val="000000"/>
          <w:sz w:val="32"/>
          <w:szCs w:val="32"/>
        </w:rPr>
        <w:t>学分。</w:t>
      </w:r>
    </w:p>
    <w:p w14:paraId="56B278C9">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10</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学术会议以下类别计算学分：</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6"/>
        <w:gridCol w:w="1701"/>
        <w:gridCol w:w="1560"/>
        <w:gridCol w:w="1701"/>
        <w:gridCol w:w="1275"/>
      </w:tblGrid>
      <w:tr w14:paraId="38B0D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376" w:type="dxa"/>
            <w:noWrap w:val="0"/>
            <w:vAlign w:val="top"/>
          </w:tcPr>
          <w:p w14:paraId="0F0303E2">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会议类别</w:t>
            </w:r>
          </w:p>
        </w:tc>
        <w:tc>
          <w:tcPr>
            <w:tcW w:w="1701" w:type="dxa"/>
            <w:noWrap w:val="0"/>
            <w:vAlign w:val="top"/>
          </w:tcPr>
          <w:p w14:paraId="19DDE4F3">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第一作者</w:t>
            </w:r>
          </w:p>
        </w:tc>
        <w:tc>
          <w:tcPr>
            <w:tcW w:w="1560" w:type="dxa"/>
            <w:noWrap w:val="0"/>
            <w:vAlign w:val="top"/>
          </w:tcPr>
          <w:p w14:paraId="1027F9B6">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第二作者</w:t>
            </w:r>
          </w:p>
        </w:tc>
        <w:tc>
          <w:tcPr>
            <w:tcW w:w="1701" w:type="dxa"/>
            <w:noWrap w:val="0"/>
            <w:vAlign w:val="top"/>
          </w:tcPr>
          <w:p w14:paraId="3EC4976B">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第三作者</w:t>
            </w:r>
          </w:p>
        </w:tc>
        <w:tc>
          <w:tcPr>
            <w:tcW w:w="1275" w:type="dxa"/>
            <w:noWrap w:val="0"/>
            <w:vAlign w:val="top"/>
          </w:tcPr>
          <w:p w14:paraId="5D9D6AC6">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黑体" w:hAnsi="黑体" w:eastAsia="黑体" w:cs="黑体"/>
                <w:color w:val="auto"/>
                <w:sz w:val="28"/>
                <w:szCs w:val="28"/>
              </w:rPr>
            </w:pPr>
            <w:r>
              <w:rPr>
                <w:rFonts w:hint="eastAsia" w:ascii="黑体" w:hAnsi="黑体" w:eastAsia="黑体" w:cs="黑体"/>
                <w:color w:val="auto"/>
                <w:sz w:val="28"/>
                <w:szCs w:val="28"/>
              </w:rPr>
              <w:t>余类推</w:t>
            </w:r>
          </w:p>
        </w:tc>
      </w:tr>
      <w:tr w14:paraId="4BA31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376" w:type="dxa"/>
            <w:noWrap w:val="0"/>
            <w:vAlign w:val="top"/>
          </w:tcPr>
          <w:p w14:paraId="49F4BDCB">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国际会议</w:t>
            </w:r>
          </w:p>
        </w:tc>
        <w:tc>
          <w:tcPr>
            <w:tcW w:w="1701" w:type="dxa"/>
            <w:noWrap w:val="0"/>
            <w:vAlign w:val="top"/>
          </w:tcPr>
          <w:p w14:paraId="29617951">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8</w:t>
            </w:r>
          </w:p>
        </w:tc>
        <w:tc>
          <w:tcPr>
            <w:tcW w:w="1560" w:type="dxa"/>
            <w:noWrap w:val="0"/>
            <w:vAlign w:val="top"/>
          </w:tcPr>
          <w:p w14:paraId="71F61A65">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7</w:t>
            </w:r>
          </w:p>
        </w:tc>
        <w:tc>
          <w:tcPr>
            <w:tcW w:w="1701" w:type="dxa"/>
            <w:noWrap w:val="0"/>
            <w:vAlign w:val="top"/>
          </w:tcPr>
          <w:p w14:paraId="6288B86B">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p>
        </w:tc>
        <w:tc>
          <w:tcPr>
            <w:tcW w:w="1275" w:type="dxa"/>
            <w:noWrap w:val="0"/>
            <w:vAlign w:val="top"/>
          </w:tcPr>
          <w:p w14:paraId="4C11EADE">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p>
        </w:tc>
      </w:tr>
      <w:tr w14:paraId="3999E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376" w:type="dxa"/>
            <w:noWrap w:val="0"/>
            <w:vAlign w:val="top"/>
          </w:tcPr>
          <w:p w14:paraId="35FC89C2">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全国会议</w:t>
            </w:r>
          </w:p>
        </w:tc>
        <w:tc>
          <w:tcPr>
            <w:tcW w:w="1701" w:type="dxa"/>
            <w:noWrap w:val="0"/>
            <w:vAlign w:val="top"/>
          </w:tcPr>
          <w:p w14:paraId="104831EC">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p>
        </w:tc>
        <w:tc>
          <w:tcPr>
            <w:tcW w:w="1560" w:type="dxa"/>
            <w:noWrap w:val="0"/>
            <w:vAlign w:val="top"/>
          </w:tcPr>
          <w:p w14:paraId="758D950C">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1701" w:type="dxa"/>
            <w:noWrap w:val="0"/>
            <w:vAlign w:val="top"/>
          </w:tcPr>
          <w:p w14:paraId="149A59D7">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1275" w:type="dxa"/>
            <w:noWrap w:val="0"/>
            <w:vAlign w:val="top"/>
          </w:tcPr>
          <w:p w14:paraId="455EDCF1">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p>
        </w:tc>
      </w:tr>
      <w:tr w14:paraId="262DF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376" w:type="dxa"/>
            <w:noWrap w:val="0"/>
            <w:vAlign w:val="top"/>
          </w:tcPr>
          <w:p w14:paraId="401DDAD2">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行政区级会议</w:t>
            </w:r>
          </w:p>
        </w:tc>
        <w:tc>
          <w:tcPr>
            <w:tcW w:w="1701" w:type="dxa"/>
            <w:noWrap w:val="0"/>
            <w:vAlign w:val="top"/>
          </w:tcPr>
          <w:p w14:paraId="3274C70B">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1560" w:type="dxa"/>
            <w:noWrap w:val="0"/>
            <w:vAlign w:val="top"/>
          </w:tcPr>
          <w:p w14:paraId="20A37F30">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1701" w:type="dxa"/>
            <w:noWrap w:val="0"/>
            <w:vAlign w:val="top"/>
          </w:tcPr>
          <w:p w14:paraId="4941C67D">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p>
        </w:tc>
        <w:tc>
          <w:tcPr>
            <w:tcW w:w="1275" w:type="dxa"/>
            <w:noWrap w:val="0"/>
            <w:vAlign w:val="top"/>
          </w:tcPr>
          <w:p w14:paraId="6D32C653">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p>
        </w:tc>
      </w:tr>
      <w:tr w14:paraId="158E3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376" w:type="dxa"/>
            <w:noWrap w:val="0"/>
            <w:vAlign w:val="top"/>
          </w:tcPr>
          <w:p w14:paraId="232C91FB">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省级会议</w:t>
            </w:r>
          </w:p>
        </w:tc>
        <w:tc>
          <w:tcPr>
            <w:tcW w:w="1701" w:type="dxa"/>
            <w:noWrap w:val="0"/>
            <w:vAlign w:val="top"/>
          </w:tcPr>
          <w:p w14:paraId="746F437B">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4</w:t>
            </w:r>
          </w:p>
        </w:tc>
        <w:tc>
          <w:tcPr>
            <w:tcW w:w="1560" w:type="dxa"/>
            <w:noWrap w:val="0"/>
            <w:vAlign w:val="top"/>
          </w:tcPr>
          <w:p w14:paraId="2BDE5C1A">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3</w:t>
            </w:r>
          </w:p>
        </w:tc>
        <w:tc>
          <w:tcPr>
            <w:tcW w:w="1701" w:type="dxa"/>
            <w:noWrap w:val="0"/>
            <w:vAlign w:val="top"/>
          </w:tcPr>
          <w:p w14:paraId="1E633C18">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p>
        </w:tc>
        <w:tc>
          <w:tcPr>
            <w:tcW w:w="1275" w:type="dxa"/>
            <w:noWrap w:val="0"/>
            <w:vAlign w:val="top"/>
          </w:tcPr>
          <w:p w14:paraId="40BCB520">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28"/>
                <w:szCs w:val="28"/>
              </w:rPr>
            </w:pPr>
          </w:p>
        </w:tc>
      </w:tr>
    </w:tbl>
    <w:p w14:paraId="44D11ED8">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p>
    <w:p w14:paraId="6BCDD925">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在会上宣读论文者，按上述标准给分，书面展出和摘要等的作者，授予总分2学分，仅列标题者授予总分1学分。</w:t>
      </w:r>
    </w:p>
    <w:p w14:paraId="6FF10075">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Ⅱ类学分由单位主管继续医学教育部门负责审核，各地市卫健委负责监督。</w:t>
      </w:r>
    </w:p>
    <w:p w14:paraId="7641260D">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楷体_GB2312" w:hAnsi="楷体_GB2312" w:eastAsia="楷体_GB2312" w:cs="楷体_GB2312"/>
          <w:b w:val="0"/>
          <w:bCs w:val="0"/>
          <w:color w:val="auto"/>
          <w:sz w:val="32"/>
          <w:szCs w:val="32"/>
          <w:lang w:eastAsia="zh-CN"/>
        </w:rPr>
      </w:pPr>
      <w:r>
        <w:rPr>
          <w:rFonts w:hint="eastAsia" w:ascii="楷体_GB2312" w:hAnsi="楷体_GB2312" w:eastAsia="楷体_GB2312" w:cs="楷体_GB2312"/>
          <w:b w:val="0"/>
          <w:bCs w:val="0"/>
          <w:color w:val="auto"/>
          <w:sz w:val="32"/>
          <w:szCs w:val="32"/>
          <w:lang w:eastAsia="zh-CN"/>
        </w:rPr>
        <w:t>　　</w:t>
      </w:r>
      <w:r>
        <w:rPr>
          <w:rFonts w:hint="eastAsia" w:ascii="楷体_GB2312" w:hAnsi="楷体_GB2312" w:eastAsia="楷体_GB2312" w:cs="楷体_GB2312"/>
          <w:b w:val="0"/>
          <w:bCs w:val="0"/>
          <w:color w:val="auto"/>
          <w:sz w:val="32"/>
          <w:szCs w:val="32"/>
        </w:rPr>
        <w:t>（三）现代远程继续医学教育学分</w:t>
      </w:r>
      <w:r>
        <w:rPr>
          <w:rFonts w:hint="eastAsia" w:ascii="楷体_GB2312" w:hAnsi="楷体_GB2312" w:eastAsia="楷体_GB2312" w:cs="楷体_GB2312"/>
          <w:b w:val="0"/>
          <w:bCs w:val="0"/>
          <w:color w:val="auto"/>
          <w:sz w:val="32"/>
          <w:szCs w:val="32"/>
          <w:lang w:eastAsia="zh-CN"/>
        </w:rPr>
        <w:t>。</w:t>
      </w:r>
    </w:p>
    <w:p w14:paraId="3BA06218">
      <w:pPr>
        <w:keepNext w:val="0"/>
        <w:keepLines w:val="0"/>
        <w:pageBreakBefore w:val="0"/>
        <w:widowControl w:val="0"/>
        <w:kinsoku/>
        <w:wordWrap/>
        <w:overflowPunct/>
        <w:topLinePunct w:val="0"/>
        <w:autoSpaceDE/>
        <w:autoSpaceDN/>
        <w:bidi w:val="0"/>
        <w:spacing w:line="560" w:lineRule="exact"/>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远程继续医学教育学分的授予按该项目所属项目级别及其授分标准执行；编制远程教育课件的项目，按该继续医学教育项目所属级别及其授予管理规定授分。</w:t>
      </w:r>
    </w:p>
    <w:p w14:paraId="10D9009B">
      <w:pPr>
        <w:pStyle w:val="16"/>
        <w:keepNext w:val="0"/>
        <w:keepLines w:val="0"/>
        <w:pageBreakBefore w:val="0"/>
        <w:widowControl w:val="0"/>
        <w:kinsoku/>
        <w:wordWrap/>
        <w:overflowPunct/>
        <w:topLinePunct w:val="0"/>
        <w:autoSpaceDE/>
        <w:autoSpaceDN/>
        <w:bidi w:val="0"/>
        <w:adjustRightInd w:val="0"/>
        <w:snapToGrid w:val="0"/>
        <w:spacing w:after="0" w:line="560" w:lineRule="exact"/>
        <w:jc w:val="both"/>
        <w:textAlignment w:val="auto"/>
        <w:outlineLvl w:val="9"/>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lang w:eastAsia="zh-CN"/>
        </w:rPr>
        <w:t>　　四</w:t>
      </w:r>
      <w:r>
        <w:rPr>
          <w:rFonts w:hint="eastAsia" w:ascii="黑体" w:hAnsi="黑体" w:eastAsia="黑体" w:cs="黑体"/>
          <w:b w:val="0"/>
          <w:bCs w:val="0"/>
          <w:color w:val="auto"/>
          <w:sz w:val="32"/>
          <w:szCs w:val="32"/>
        </w:rPr>
        <w:t>、学分验证</w:t>
      </w:r>
    </w:p>
    <w:p w14:paraId="1D4F1218">
      <w:pPr>
        <w:pStyle w:val="16"/>
        <w:keepNext w:val="0"/>
        <w:keepLines w:val="0"/>
        <w:pageBreakBefore w:val="0"/>
        <w:widowControl w:val="0"/>
        <w:kinsoku/>
        <w:wordWrap/>
        <w:overflowPunct/>
        <w:topLinePunct w:val="0"/>
        <w:autoSpaceDE/>
        <w:autoSpaceDN/>
        <w:bidi w:val="0"/>
        <w:adjustRightInd w:val="0"/>
        <w:snapToGrid w:val="0"/>
        <w:spacing w:after="0" w:line="560" w:lineRule="exact"/>
        <w:jc w:val="both"/>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Cs/>
          <w:color w:val="auto"/>
          <w:sz w:val="32"/>
          <w:szCs w:val="32"/>
          <w:lang w:eastAsia="zh-CN"/>
        </w:rPr>
        <w:t>广西</w:t>
      </w:r>
      <w:r>
        <w:rPr>
          <w:rFonts w:hint="eastAsia" w:ascii="仿宋_GB2312" w:hAnsi="仿宋_GB2312" w:eastAsia="仿宋_GB2312" w:cs="仿宋_GB2312"/>
          <w:bCs/>
          <w:color w:val="auto"/>
          <w:sz w:val="32"/>
          <w:szCs w:val="32"/>
        </w:rPr>
        <w:t>继续医学教育委员会</w:t>
      </w:r>
      <w:r>
        <w:rPr>
          <w:rFonts w:hint="eastAsia" w:ascii="仿宋_GB2312" w:hAnsi="仿宋_GB2312" w:eastAsia="仿宋_GB2312" w:cs="仿宋_GB2312"/>
          <w:bCs/>
          <w:color w:val="auto"/>
          <w:sz w:val="32"/>
          <w:szCs w:val="32"/>
          <w:lang w:eastAsia="zh-CN"/>
        </w:rPr>
        <w:t>办公室</w:t>
      </w:r>
      <w:r>
        <w:rPr>
          <w:rFonts w:hint="eastAsia" w:ascii="仿宋_GB2312" w:hAnsi="仿宋_GB2312" w:eastAsia="仿宋_GB2312" w:cs="仿宋_GB2312"/>
          <w:bCs/>
          <w:color w:val="auto"/>
          <w:sz w:val="32"/>
          <w:szCs w:val="32"/>
        </w:rPr>
        <w:t>负责对</w:t>
      </w:r>
      <w:r>
        <w:rPr>
          <w:rFonts w:hint="eastAsia" w:ascii="仿宋_GB2312" w:hAnsi="仿宋_GB2312" w:eastAsia="仿宋_GB2312" w:cs="仿宋_GB2312"/>
          <w:bCs/>
          <w:color w:val="auto"/>
          <w:sz w:val="32"/>
          <w:szCs w:val="32"/>
          <w:lang w:eastAsia="zh-CN"/>
        </w:rPr>
        <w:t>全区内</w:t>
      </w:r>
      <w:r>
        <w:rPr>
          <w:rFonts w:hint="eastAsia" w:ascii="仿宋_GB2312" w:hAnsi="仿宋_GB2312" w:eastAsia="仿宋_GB2312" w:cs="仿宋_GB2312"/>
          <w:bCs/>
          <w:color w:val="auto"/>
          <w:sz w:val="32"/>
          <w:szCs w:val="32"/>
        </w:rPr>
        <w:t>医疗卫生计生专业技术人员</w:t>
      </w:r>
      <w:r>
        <w:rPr>
          <w:rFonts w:hint="eastAsia" w:ascii="仿宋_GB2312" w:hAnsi="仿宋_GB2312" w:eastAsia="仿宋_GB2312" w:cs="仿宋_GB2312"/>
          <w:bCs/>
          <w:color w:val="auto"/>
          <w:sz w:val="32"/>
          <w:szCs w:val="32"/>
          <w:lang w:eastAsia="zh-CN"/>
        </w:rPr>
        <w:t>获得的国家级和区级</w:t>
      </w:r>
      <w:r>
        <w:rPr>
          <w:rFonts w:hint="eastAsia" w:ascii="仿宋_GB2312" w:hAnsi="仿宋_GB2312" w:eastAsia="仿宋_GB2312" w:cs="仿宋_GB2312"/>
          <w:bCs/>
          <w:color w:val="auto"/>
          <w:sz w:val="32"/>
          <w:szCs w:val="32"/>
        </w:rPr>
        <w:t>继续医学教育</w:t>
      </w:r>
      <w:r>
        <w:rPr>
          <w:rFonts w:hint="eastAsia" w:ascii="仿宋_GB2312" w:hAnsi="仿宋_GB2312" w:eastAsia="仿宋_GB2312" w:cs="仿宋_GB2312"/>
          <w:bCs/>
          <w:color w:val="auto"/>
          <w:sz w:val="32"/>
          <w:szCs w:val="32"/>
          <w:lang w:eastAsia="zh-CN"/>
        </w:rPr>
        <w:t>项目</w:t>
      </w:r>
      <w:r>
        <w:rPr>
          <w:rFonts w:hint="eastAsia" w:ascii="仿宋_GB2312" w:hAnsi="仿宋_GB2312" w:eastAsia="仿宋_GB2312" w:cs="仿宋_GB2312"/>
          <w:color w:val="auto"/>
          <w:sz w:val="32"/>
          <w:szCs w:val="32"/>
          <w:lang w:eastAsia="zh-CN"/>
        </w:rPr>
        <w:t>（含远程项目）</w:t>
      </w:r>
      <w:r>
        <w:rPr>
          <w:rFonts w:hint="eastAsia" w:ascii="仿宋_GB2312" w:hAnsi="仿宋_GB2312" w:eastAsia="仿宋_GB2312" w:cs="仿宋_GB2312"/>
          <w:bCs/>
          <w:color w:val="auto"/>
          <w:sz w:val="32"/>
          <w:szCs w:val="32"/>
          <w:lang w:eastAsia="zh-CN"/>
        </w:rPr>
        <w:t>学分</w:t>
      </w:r>
      <w:r>
        <w:rPr>
          <w:rFonts w:hint="eastAsia" w:ascii="仿宋_GB2312" w:hAnsi="仿宋_GB2312" w:eastAsia="仿宋_GB2312" w:cs="仿宋_GB2312"/>
          <w:bCs/>
          <w:color w:val="auto"/>
          <w:sz w:val="32"/>
          <w:szCs w:val="32"/>
        </w:rPr>
        <w:t>进行验证，</w:t>
      </w:r>
      <w:r>
        <w:rPr>
          <w:rFonts w:hint="eastAsia" w:ascii="仿宋_GB2312" w:hAnsi="仿宋_GB2312" w:eastAsia="仿宋_GB2312" w:cs="仿宋_GB2312"/>
          <w:bCs/>
          <w:color w:val="auto"/>
          <w:sz w:val="32"/>
          <w:szCs w:val="32"/>
          <w:lang w:eastAsia="zh-CN"/>
        </w:rPr>
        <w:t>核实</w:t>
      </w:r>
      <w:r>
        <w:rPr>
          <w:rFonts w:hint="eastAsia" w:ascii="仿宋_GB2312" w:hAnsi="仿宋_GB2312" w:eastAsia="仿宋_GB2312" w:cs="仿宋_GB2312"/>
          <w:bCs/>
          <w:color w:val="auto"/>
          <w:sz w:val="32"/>
          <w:szCs w:val="32"/>
        </w:rPr>
        <w:t>学分是否真实有效。</w:t>
      </w:r>
    </w:p>
    <w:p w14:paraId="37A00596">
      <w:pPr>
        <w:pStyle w:val="16"/>
        <w:keepNext w:val="0"/>
        <w:keepLines w:val="0"/>
        <w:pageBreakBefore w:val="0"/>
        <w:widowControl w:val="0"/>
        <w:kinsoku/>
        <w:wordWrap/>
        <w:overflowPunct/>
        <w:topLinePunct w:val="0"/>
        <w:autoSpaceDE/>
        <w:autoSpaceDN/>
        <w:bidi w:val="0"/>
        <w:adjustRightInd w:val="0"/>
        <w:snapToGrid w:val="0"/>
        <w:spacing w:after="0" w:line="560" w:lineRule="exact"/>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Cs/>
          <w:color w:val="auto"/>
          <w:sz w:val="32"/>
          <w:szCs w:val="32"/>
          <w:lang w:eastAsia="zh-CN"/>
        </w:rPr>
        <w:t>　　</w:t>
      </w:r>
      <w:r>
        <w:rPr>
          <w:rFonts w:hint="eastAsia" w:ascii="仿宋_GB2312" w:hAnsi="仿宋_GB2312" w:eastAsia="仿宋_GB2312" w:cs="仿宋_GB2312"/>
          <w:bCs/>
          <w:color w:val="auto"/>
          <w:sz w:val="32"/>
          <w:szCs w:val="32"/>
        </w:rPr>
        <w:t>（</w:t>
      </w:r>
      <w:r>
        <w:rPr>
          <w:rFonts w:hint="eastAsia" w:ascii="仿宋_GB2312" w:hAnsi="仿宋_GB2312" w:eastAsia="仿宋_GB2312" w:cs="仿宋_GB2312"/>
          <w:bCs/>
          <w:color w:val="auto"/>
          <w:sz w:val="32"/>
          <w:szCs w:val="32"/>
          <w:lang w:eastAsia="zh-CN"/>
        </w:rPr>
        <w:t>二</w:t>
      </w:r>
      <w:r>
        <w:rPr>
          <w:rFonts w:hint="eastAsia" w:ascii="仿宋_GB2312" w:hAnsi="仿宋_GB2312" w:eastAsia="仿宋_GB2312" w:cs="仿宋_GB2312"/>
          <w:bCs/>
          <w:color w:val="auto"/>
          <w:sz w:val="32"/>
          <w:szCs w:val="32"/>
        </w:rPr>
        <w:t>）各</w:t>
      </w:r>
      <w:r>
        <w:rPr>
          <w:rFonts w:hint="eastAsia" w:ascii="仿宋_GB2312" w:hAnsi="仿宋_GB2312" w:eastAsia="仿宋_GB2312" w:cs="仿宋_GB2312"/>
          <w:bCs/>
          <w:color w:val="auto"/>
          <w:sz w:val="32"/>
          <w:szCs w:val="32"/>
          <w:lang w:eastAsia="zh-CN"/>
        </w:rPr>
        <w:t>地</w:t>
      </w:r>
      <w:r>
        <w:rPr>
          <w:rFonts w:hint="eastAsia" w:ascii="仿宋_GB2312" w:hAnsi="仿宋_GB2312" w:eastAsia="仿宋_GB2312" w:cs="仿宋_GB2312"/>
          <w:bCs/>
          <w:color w:val="auto"/>
          <w:sz w:val="32"/>
          <w:szCs w:val="32"/>
        </w:rPr>
        <w:t>市</w:t>
      </w:r>
      <w:r>
        <w:rPr>
          <w:rFonts w:hint="eastAsia" w:ascii="仿宋_GB2312" w:hAnsi="仿宋_GB2312" w:eastAsia="仿宋_GB2312" w:cs="仿宋_GB2312"/>
          <w:color w:val="auto"/>
          <w:sz w:val="32"/>
          <w:szCs w:val="32"/>
        </w:rPr>
        <w:t>继续医学教育委员会负责对所辖区内卫生计生专业技术人员继续医学教育学分</w:t>
      </w:r>
      <w:r>
        <w:rPr>
          <w:rFonts w:hint="eastAsia" w:ascii="仿宋_GB2312" w:hAnsi="仿宋_GB2312" w:eastAsia="仿宋_GB2312" w:cs="仿宋_GB2312"/>
          <w:color w:val="auto"/>
          <w:sz w:val="32"/>
          <w:szCs w:val="32"/>
          <w:lang w:eastAsia="zh-CN"/>
        </w:rPr>
        <w:t>进行验证</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核实</w:t>
      </w:r>
      <w:r>
        <w:rPr>
          <w:rFonts w:hint="eastAsia" w:ascii="仿宋_GB2312" w:hAnsi="仿宋_GB2312" w:eastAsia="仿宋_GB2312" w:cs="仿宋_GB2312"/>
          <w:color w:val="auto"/>
          <w:sz w:val="32"/>
          <w:szCs w:val="32"/>
        </w:rPr>
        <w:t>学分是否真实有效。</w:t>
      </w:r>
    </w:p>
    <w:p w14:paraId="7B3FC0A2">
      <w:pPr>
        <w:pStyle w:val="16"/>
        <w:keepNext w:val="0"/>
        <w:keepLines w:val="0"/>
        <w:pageBreakBefore w:val="0"/>
        <w:widowControl w:val="0"/>
        <w:kinsoku/>
        <w:wordWrap/>
        <w:overflowPunct/>
        <w:topLinePunct w:val="0"/>
        <w:autoSpaceDE/>
        <w:autoSpaceDN/>
        <w:bidi w:val="0"/>
        <w:adjustRightInd w:val="0"/>
        <w:snapToGrid w:val="0"/>
        <w:spacing w:after="0" w:line="560" w:lineRule="exact"/>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三</w:t>
      </w:r>
      <w:r>
        <w:rPr>
          <w:rFonts w:hint="eastAsia" w:ascii="仿宋_GB2312" w:hAnsi="仿宋_GB2312" w:eastAsia="仿宋_GB2312" w:cs="仿宋_GB2312"/>
          <w:color w:val="auto"/>
          <w:sz w:val="32"/>
          <w:szCs w:val="32"/>
        </w:rPr>
        <w:t>）继续医学教育证书的验证每年进行一次</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每年12月31日前完成对辖区内卫生计生专业技术人员当年学分验证工作。</w:t>
      </w:r>
    </w:p>
    <w:p w14:paraId="00383712">
      <w:pPr>
        <w:pStyle w:val="17"/>
        <w:keepNext w:val="0"/>
        <w:keepLines w:val="0"/>
        <w:pageBreakBefore w:val="0"/>
        <w:widowControl w:val="0"/>
        <w:kinsoku/>
        <w:wordWrap/>
        <w:overflowPunct/>
        <w:topLinePunct w:val="0"/>
        <w:autoSpaceDE/>
        <w:autoSpaceDN/>
        <w:bidi w:val="0"/>
        <w:adjustRightInd w:val="0"/>
        <w:snapToGrid w:val="0"/>
        <w:spacing w:line="560" w:lineRule="exact"/>
        <w:ind w:left="0" w:leftChars="0" w:firstLine="0" w:firstLineChars="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　　</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四</w:t>
      </w:r>
      <w:r>
        <w:rPr>
          <w:rFonts w:hint="eastAsia" w:ascii="仿宋_GB2312" w:hAnsi="仿宋_GB2312" w:eastAsia="仿宋_GB2312" w:cs="仿宋_GB2312"/>
          <w:color w:val="auto"/>
          <w:sz w:val="32"/>
          <w:szCs w:val="32"/>
        </w:rPr>
        <w:t>）年度继续医学教育学分统计起止时间为1月1日至12月31日</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年度继续医学教育学分</w:t>
      </w:r>
      <w:r>
        <w:rPr>
          <w:rFonts w:hint="eastAsia" w:ascii="仿宋_GB2312" w:hAnsi="仿宋_GB2312" w:eastAsia="仿宋_GB2312" w:cs="仿宋_GB2312"/>
          <w:color w:val="auto"/>
          <w:sz w:val="32"/>
          <w:szCs w:val="32"/>
          <w:lang w:eastAsia="zh-CN"/>
        </w:rPr>
        <w:t>审核工作截止时间为次年的1月31日，超时不得再进行修改和审核。</w:t>
      </w:r>
    </w:p>
    <w:p w14:paraId="50E091DE"/>
    <w:p w14:paraId="3095C14D">
      <w:pPr>
        <w:pStyle w:val="6"/>
        <w:rPr>
          <w:rFonts w:hint="eastAsia" w:ascii="仿宋_GB2312" w:hAnsi="仿宋_GB2312" w:eastAsia="仿宋_GB2312" w:cs="仿宋_GB2312"/>
          <w:color w:val="auto"/>
          <w:sz w:val="32"/>
          <w:szCs w:val="32"/>
          <w:lang w:eastAsia="zh-CN"/>
        </w:rPr>
      </w:pPr>
    </w:p>
    <w:sectPr>
      <w:footerReference r:id="rId3" w:type="default"/>
      <w:pgSz w:w="11906" w:h="16838"/>
      <w:pgMar w:top="1701" w:right="1417" w:bottom="1417" w:left="1701" w:header="851" w:footer="992" w:gutter="0"/>
      <w:pgNumType w:fmt="decimal" w:start="1"/>
      <w:cols w:space="72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Nimbus Roman No9 L">
    <w:panose1 w:val="00000000000000000000"/>
    <w:charset w:val="00"/>
    <w:family w:val="auto"/>
    <w:pitch w:val="default"/>
    <w:sig w:usb0="00000000" w:usb1="00000000" w:usb2="00000000" w:usb3="00000000" w:csb0="00000000" w:csb1="00000000"/>
  </w:font>
  <w:font w:name="Calibri">
    <w:altName w:val="Segoe UI"/>
    <w:panose1 w:val="020F0502020204030204"/>
    <w:charset w:val="00"/>
    <w:family w:val="swiss"/>
    <w:pitch w:val="default"/>
    <w:sig w:usb0="00000000" w:usb1="00000000" w:usb2="00000001" w:usb3="00000000" w:csb0="0000019F" w:csb1="00000000"/>
  </w:font>
  <w:font w:name="Segoe UI">
    <w:panose1 w:val="020B0802040204020203"/>
    <w:charset w:val="00"/>
    <w:family w:val="auto"/>
    <w:pitch w:val="default"/>
    <w:sig w:usb0="E10022FF" w:usb1="C000E47F" w:usb2="00000029" w:usb3="00000000" w:csb0="200001DF" w:csb1="20000000"/>
  </w:font>
  <w:font w:name="方正书宋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altName w:val="方正楷体_GBK"/>
    <w:panose1 w:val="02010609030101010101"/>
    <w:charset w:val="86"/>
    <w:family w:val="auto"/>
    <w:pitch w:val="default"/>
    <w:sig w:usb0="00000000" w:usb1="00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7AD83">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01BB877">
                          <w:pPr>
                            <w:pStyle w:val="6"/>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w:t>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h0E290BAAC+AwAADgAAAGRycy9lMm9Eb2MueG1srVPNjtMwEL4j8Q6W&#10;7zTZHlYlarqCrRYhIUBaeADXcRpL/tN42qQ8ALwBJy7cea4+B2Mn6cJy2QOXZDwz/ma+b8brm8Ea&#10;dlQQtXc1v1qUnCknfaPdvuafP929WHEWUbhGGO9UzU8q8pvN82frPlRq6TtvGgWMQFys+lDzDjFU&#10;RRFlp6yICx+Uo2DrwQqkI+yLBkRP6NYUy7K8LnoPTQAvVYzk3Y5BPiHCUwB922qptl4erHI4ooIy&#10;AolS7HSIfJO7bVsl8UPbRoXM1JyYYv5SEbJ36Vts1qLagwidllML4iktPOJkhXZU9AK1FSjYAfQ/&#10;UFZL8NG3uJDeFiORrAixuCofaXPfiaAyF5I6hovo8f/ByvfHj8B0U/OXnDlhaeDn79/OP36df35l&#10;yyRPH2JFWfeB8nB47QdamtkfyZlYDy3Y9Cc+jOIk7ukirhqQyXRptVytSgpJis0Hwi8ergeI+EZ5&#10;y5JRc6DpZVHF8V3EMXVOSdWcv9PG5Aka95eDMJOnSL2PPSYLh90wEdr55kR86BlQnc7DF856WoKa&#10;O9p5zsxbRxqnfZkNmI3dbAgn6WLNkbPRvMVxrw4B9L7Lm5aaiuHVAanTTCC1MdaeuqOxZgmmFUx7&#10;8+c5Zz08u81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K4dBNvdAQAAvgMAAA4AAAAAAAAA&#10;AQAgAAAAHgEAAGRycy9lMm9Eb2MueG1sUEsFBgAAAAAGAAYAWQEAAG0FAAAAAA==&#10;">
              <v:fill on="f" focussize="0,0"/>
              <v:stroke on="f"/>
              <v:imagedata o:title=""/>
              <o:lock v:ext="edit" aspectratio="f"/>
              <v:textbox inset="0mm,0mm,0mm,0mm" style="mso-fit-shape-to-text:t;">
                <w:txbxContent>
                  <w:p w14:paraId="601BB877">
                    <w:pPr>
                      <w:pStyle w:val="6"/>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wNTRkY2RhNWU0MTc4OTUzNjA2M2M2NDdiMGFiNzcifQ=="/>
  </w:docVars>
  <w:rsids>
    <w:rsidRoot w:val="000D553B"/>
    <w:rsid w:val="00107A75"/>
    <w:rsid w:val="00272E38"/>
    <w:rsid w:val="00277791"/>
    <w:rsid w:val="0028607E"/>
    <w:rsid w:val="002C5AB1"/>
    <w:rsid w:val="002C5D11"/>
    <w:rsid w:val="00340144"/>
    <w:rsid w:val="003772D9"/>
    <w:rsid w:val="003C4A89"/>
    <w:rsid w:val="005C02B6"/>
    <w:rsid w:val="006456EF"/>
    <w:rsid w:val="007563FB"/>
    <w:rsid w:val="00773D4E"/>
    <w:rsid w:val="008552CD"/>
    <w:rsid w:val="008E65E1"/>
    <w:rsid w:val="009629AB"/>
    <w:rsid w:val="009674C0"/>
    <w:rsid w:val="00A332F8"/>
    <w:rsid w:val="00A64A2A"/>
    <w:rsid w:val="00B120A2"/>
    <w:rsid w:val="00BB642A"/>
    <w:rsid w:val="00C150BB"/>
    <w:rsid w:val="00D12997"/>
    <w:rsid w:val="00D23598"/>
    <w:rsid w:val="00E4424F"/>
    <w:rsid w:val="00F1325B"/>
    <w:rsid w:val="00F952FC"/>
    <w:rsid w:val="00FC4893"/>
    <w:rsid w:val="029F6D7F"/>
    <w:rsid w:val="031A787C"/>
    <w:rsid w:val="057C04C7"/>
    <w:rsid w:val="058D48FE"/>
    <w:rsid w:val="08F06D0D"/>
    <w:rsid w:val="0A0F18D2"/>
    <w:rsid w:val="0AF30E73"/>
    <w:rsid w:val="0C155D86"/>
    <w:rsid w:val="0CDA59C4"/>
    <w:rsid w:val="0D1F2FEC"/>
    <w:rsid w:val="0E27733A"/>
    <w:rsid w:val="0F563525"/>
    <w:rsid w:val="13D92C0A"/>
    <w:rsid w:val="14BB72C0"/>
    <w:rsid w:val="15533798"/>
    <w:rsid w:val="19902855"/>
    <w:rsid w:val="1FD22090"/>
    <w:rsid w:val="276C5EA7"/>
    <w:rsid w:val="2A5F6D25"/>
    <w:rsid w:val="2ADA55FA"/>
    <w:rsid w:val="2B7525DD"/>
    <w:rsid w:val="2BF24029"/>
    <w:rsid w:val="30F73DB6"/>
    <w:rsid w:val="32441C41"/>
    <w:rsid w:val="36C97CDC"/>
    <w:rsid w:val="38DE2042"/>
    <w:rsid w:val="3DE479D1"/>
    <w:rsid w:val="3DE633B1"/>
    <w:rsid w:val="45AC1B22"/>
    <w:rsid w:val="461E5EA0"/>
    <w:rsid w:val="49335E4B"/>
    <w:rsid w:val="4B845DEA"/>
    <w:rsid w:val="4E5E676B"/>
    <w:rsid w:val="52E8305B"/>
    <w:rsid w:val="53301907"/>
    <w:rsid w:val="54354118"/>
    <w:rsid w:val="57807785"/>
    <w:rsid w:val="5D5F04B3"/>
    <w:rsid w:val="5E366E16"/>
    <w:rsid w:val="5F67DA17"/>
    <w:rsid w:val="648945C8"/>
    <w:rsid w:val="65BA65AA"/>
    <w:rsid w:val="69A53FE5"/>
    <w:rsid w:val="6A553B78"/>
    <w:rsid w:val="6DB5208F"/>
    <w:rsid w:val="6F3A7A23"/>
    <w:rsid w:val="6FE401B3"/>
    <w:rsid w:val="72743B16"/>
    <w:rsid w:val="746506C6"/>
    <w:rsid w:val="75123AE8"/>
    <w:rsid w:val="7A8A23B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仿宋_GB2312"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qFormat="1" w:unhideWhenUsed="0" w:uiPriority="0" w:semiHidden="0"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next w:val="1"/>
    <w:qFormat/>
    <w:uiPriority w:val="0"/>
    <w:pPr>
      <w:widowControl w:val="0"/>
      <w:spacing w:beforeAutospacing="1" w:afterAutospacing="1"/>
      <w:outlineLvl w:val="2"/>
    </w:pPr>
    <w:rPr>
      <w:rFonts w:ascii="宋体" w:hAnsi="Times New Roman" w:eastAsia="宋体" w:cs="Times New Roman"/>
      <w:b/>
      <w:sz w:val="27"/>
      <w:szCs w:val="27"/>
      <w:lang w:val="en-US" w:eastAsia="zh-CN" w:bidi="ar-SA"/>
    </w:rPr>
  </w:style>
  <w:style w:type="character" w:default="1" w:styleId="11">
    <w:name w:val="Default Paragraph Font"/>
    <w:qFormat/>
    <w:uiPriority w:val="0"/>
  </w:style>
  <w:style w:type="table" w:default="1" w:styleId="10">
    <w:name w:val="Normal Table"/>
    <w:unhideWhenUsed/>
    <w:qFormat/>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index 6"/>
    <w:basedOn w:val="1"/>
    <w:next w:val="1"/>
    <w:qFormat/>
    <w:uiPriority w:val="0"/>
    <w:pPr>
      <w:ind w:left="2100"/>
    </w:pPr>
  </w:style>
  <w:style w:type="paragraph" w:styleId="5">
    <w:name w:val="Balloon Text"/>
    <w:basedOn w:val="1"/>
    <w:qFormat/>
    <w:uiPriority w:val="0"/>
    <w:rPr>
      <w:sz w:val="18"/>
      <w:szCs w:val="18"/>
    </w:rPr>
  </w:style>
  <w:style w:type="paragraph" w:styleId="6">
    <w:name w:val="footer"/>
    <w:basedOn w:val="1"/>
    <w:qFormat/>
    <w:uiPriority w:val="0"/>
    <w:pPr>
      <w:tabs>
        <w:tab w:val="center" w:pos="4153"/>
        <w:tab w:val="right" w:pos="8306"/>
      </w:tabs>
      <w:snapToGrid w:val="0"/>
      <w:jc w:val="left"/>
    </w:pPr>
    <w:rPr>
      <w:rFonts w:ascii="Calibri" w:hAnsi="Calibri"/>
      <w:kern w:val="0"/>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rFonts w:ascii="Calibri" w:hAnsi="Calibri"/>
      <w:kern w:val="0"/>
      <w:sz w:val="18"/>
      <w:szCs w:val="18"/>
    </w:rPr>
  </w:style>
  <w:style w:type="paragraph" w:styleId="8">
    <w:name w:val="Normal (Web)"/>
    <w:qFormat/>
    <w:uiPriority w:val="0"/>
    <w:pPr>
      <w:widowControl w:val="0"/>
      <w:spacing w:before="100" w:beforeAutospacing="1" w:after="100" w:afterAutospacing="1"/>
    </w:pPr>
    <w:rPr>
      <w:rFonts w:ascii="宋体" w:hAnsi="Times New Roman" w:eastAsia="宋体" w:cs="Times New Roman"/>
      <w:kern w:val="2"/>
      <w:sz w:val="24"/>
      <w:szCs w:val="21"/>
      <w:lang w:val="en-US" w:eastAsia="zh-CN" w:bidi="ar-SA"/>
    </w:rPr>
  </w:style>
  <w:style w:type="paragraph" w:styleId="9">
    <w:name w:val="annotation subject"/>
    <w:next w:val="3"/>
    <w:qFormat/>
    <w:uiPriority w:val="0"/>
    <w:pPr>
      <w:widowControl w:val="0"/>
    </w:pPr>
    <w:rPr>
      <w:rFonts w:ascii="Times New Roman" w:hAnsi="Times New Roman" w:eastAsia="宋体" w:cs="Times New Roman"/>
      <w:b/>
      <w:bCs/>
      <w:kern w:val="2"/>
      <w:sz w:val="21"/>
      <w:szCs w:val="24"/>
      <w:lang w:val="en-US" w:eastAsia="zh-CN" w:bidi="ar-SA"/>
    </w:rPr>
  </w:style>
  <w:style w:type="character" w:styleId="12">
    <w:name w:val="Hyperlink"/>
    <w:qFormat/>
    <w:uiPriority w:val="0"/>
    <w:rPr>
      <w:color w:val="0000FF"/>
      <w:u w:val="single"/>
    </w:rPr>
  </w:style>
  <w:style w:type="character" w:styleId="13">
    <w:name w:val="annotation reference"/>
    <w:qFormat/>
    <w:uiPriority w:val="0"/>
    <w:rPr>
      <w:sz w:val="21"/>
      <w:szCs w:val="21"/>
    </w:rPr>
  </w:style>
  <w:style w:type="character" w:styleId="14">
    <w:name w:val="HTML Sample"/>
    <w:basedOn w:val="11"/>
    <w:qFormat/>
    <w:uiPriority w:val="0"/>
    <w:rPr>
      <w:rFonts w:ascii="Courier New" w:hAnsi="Courier New"/>
    </w:rPr>
  </w:style>
  <w:style w:type="paragraph" w:styleId="15">
    <w:name w:val="List Paragraph"/>
    <w:next w:val="4"/>
    <w:qFormat/>
    <w:uiPriority w:val="0"/>
    <w:pPr>
      <w:widowControl w:val="0"/>
      <w:ind w:firstLine="200" w:firstLineChars="200"/>
      <w:jc w:val="both"/>
    </w:pPr>
    <w:rPr>
      <w:rFonts w:ascii="Calibri" w:hAnsi="Calibri" w:eastAsia="宋体" w:cs="Times New Roman"/>
      <w:kern w:val="2"/>
      <w:sz w:val="21"/>
      <w:szCs w:val="22"/>
      <w:lang w:val="en-US" w:eastAsia="zh-CN" w:bidi="ar-SA"/>
    </w:rPr>
  </w:style>
  <w:style w:type="paragraph" w:customStyle="1" w:styleId="16">
    <w:name w:val="Body text|2"/>
    <w:basedOn w:val="1"/>
    <w:qFormat/>
    <w:uiPriority w:val="0"/>
    <w:pPr>
      <w:spacing w:after="610" w:line="623" w:lineRule="exact"/>
      <w:jc w:val="center"/>
    </w:pPr>
    <w:rPr>
      <w:rFonts w:ascii="宋体" w:cs="宋体"/>
      <w:kern w:val="0"/>
      <w:sz w:val="32"/>
      <w:szCs w:val="32"/>
      <w:lang w:val="zh-TW" w:eastAsia="zh-TW" w:bidi="zh-TW"/>
    </w:rPr>
  </w:style>
  <w:style w:type="paragraph" w:customStyle="1" w:styleId="17">
    <w:name w:val="Body text|1"/>
    <w:basedOn w:val="1"/>
    <w:qFormat/>
    <w:uiPriority w:val="0"/>
    <w:pPr>
      <w:spacing w:line="468" w:lineRule="auto"/>
      <w:ind w:firstLine="400"/>
      <w:jc w:val="left"/>
    </w:pPr>
    <w:rPr>
      <w:rFonts w:ascii="宋体" w:cs="宋体"/>
      <w:kern w:val="0"/>
      <w:sz w:val="28"/>
      <w:szCs w:val="28"/>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2683</Words>
  <Characters>2834</Characters>
  <Lines>34</Lines>
  <Paragraphs>9</Paragraphs>
  <TotalTime>1</TotalTime>
  <ScaleCrop>false</ScaleCrop>
  <LinksUpToDate>false</LinksUpToDate>
  <CharactersWithSpaces>2906</CharactersWithSpaces>
  <Application>WPS Office_12.8.2.1119_F1E327BC-269C-435d-A152-05C5408002CA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2020-03-26T13:45:00Z</dcterms:created>
  <dc:creator>Administrator</dc:creator>
  <cp:lastModifiedBy>暴躁的小谭</cp:lastModifiedBy>
  <cp:lastPrinted>2020-05-20T15:14:00Z</cp:lastPrinted>
  <dcterms:modified xsi:type="dcterms:W3CDTF">2025-05-08T16:19:12Z</dcterms:modified>
  <cp:revision>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2052-12.8.2.1119</vt:lpwstr>
  </property>
  <property fmtid="{D5CDD505-2E9C-101B-9397-08002B2CF9AE}" pid="3" name="ICV">
    <vt:lpwstr>04C7FA4AC2D550A801691C68082DCA6B_43</vt:lpwstr>
  </property>
</Properties>
</file>