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申报表</w:t>
      </w:r>
    </w:p>
    <w:tbl>
      <w:tblPr>
        <w:tblStyle w:val="3"/>
        <w:tblpPr w:leftFromText="180" w:rightFromText="180" w:vertAnchor="text" w:horzAnchor="page" w:tblpXSpec="center" w:tblpY="424"/>
        <w:tblOverlap w:val="never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170"/>
        <w:gridCol w:w="1625"/>
        <w:gridCol w:w="240"/>
        <w:gridCol w:w="1963"/>
        <w:gridCol w:w="66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制剂品名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准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文号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备案号）</w:t>
            </w:r>
          </w:p>
        </w:tc>
        <w:tc>
          <w:tcPr>
            <w:tcW w:w="30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首次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获批时间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2022-2023年的总销售量（以最小销售包装规格计数）</w:t>
            </w:r>
          </w:p>
        </w:tc>
        <w:tc>
          <w:tcPr>
            <w:tcW w:w="30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2022-2023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年的总销售额（万元）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处方来源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（可多选）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lang w:eastAsia="zh-CN"/>
              </w:rPr>
              <w:t>古代经典名方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eastAsia="zh-CN"/>
              </w:rPr>
              <w:t>国医大师传承工作室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eastAsia="zh-CN"/>
              </w:rPr>
              <w:t>全国名中医传承工作室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全国名老中医药专家传承工作室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全国基层名老中医药专家传承工作室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国家中医重点专科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国家中医优势专科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广西名中医传承工作室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广西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岐黄学者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广西（青年）岐黄学者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桂派中医大师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lang w:eastAsia="zh-CN"/>
              </w:rPr>
              <w:t>获得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lang w:val="en-US" w:eastAsia="zh-CN"/>
              </w:rPr>
              <w:t>国家级、自治区级或市级以上科技成果类奖项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eastAsia="zh-CN"/>
              </w:rPr>
              <w:t>（可多选）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国家级：一等奖；二等奖；三等奖。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自治区级</w:t>
            </w:r>
          </w:p>
          <w:p>
            <w:pPr>
              <w:jc w:val="both"/>
              <w:rPr>
                <w:rFonts w:hint="default" w:asci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处方是否含有“桂十味”、“广西区域特色药材”、《广西道地药材目录》（第一批）、《广西壮瑶等少数民族药材目录》（第一批）等我区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道地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药材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</w:rPr>
              <w:t>否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制剂品种获得国家药品监督管理局临床试验批件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制剂品种临床应用于国家优势专科或国家优势病种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bidi="ar"/>
              </w:rPr>
              <w:t>否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制剂品种拥有处方专利或立项国家、省部级或厅级相关临床课题。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入选广西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基本医疗保险、工伤保险和生育保险医疗机构制剂目录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</w:rPr>
              <w:t>否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在本医疗机构多院区、多个门诊部使用，或曾在医联体内或其他医疗机构调剂使用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规范开展不良反应检测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</w:rPr>
              <w:t>否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曾进行临床或非临床安全性和有效性观察或研究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话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联系地址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制剂介绍</w:t>
            </w:r>
          </w:p>
        </w:tc>
        <w:tc>
          <w:tcPr>
            <w:tcW w:w="7377" w:type="dxa"/>
            <w:gridSpan w:val="6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简述制剂来源、组成、功能主治、临床应用（含不良反应）、年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销售量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及销售额等基本情况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 w:bidi="ar"/>
              </w:rPr>
              <w:t>申报理由</w:t>
            </w:r>
          </w:p>
        </w:tc>
        <w:tc>
          <w:tcPr>
            <w:tcW w:w="7377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简述制品种优势特色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创新点、团队基本情况、团队人员组成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、产业化基础、真实世界数据、中药创新药转化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及专利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（不超过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54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材料真实性承诺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申报承诺：</w:t>
            </w:r>
          </w:p>
          <w:p>
            <w:pPr>
              <w:spacing w:line="440" w:lineRule="exact"/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1080" w:firstLineChars="4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　 （单位盖章）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年    月    日</w:t>
            </w: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注：相关</w:t>
      </w:r>
      <w:r>
        <w:rPr>
          <w:rFonts w:hint="default" w:ascii="Times New Roman" w:hAnsi="Times New Roman" w:eastAsia="仿宋_GB2312" w:cs="Times New Roman"/>
          <w:sz w:val="24"/>
        </w:rPr>
        <w:t>佐证材料随表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24"/>
        </w:rPr>
        <w:t>送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2B8E91"/>
    <w:rsid w:val="6BF3ABDF"/>
    <w:rsid w:val="D32B8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600" w:lineRule="exact"/>
      <w:contextualSpacing/>
    </w:pPr>
    <w:rPr>
      <w:rFonts w:eastAsia="方正小标宋简体"/>
      <w:sz w:val="44"/>
      <w:szCs w:val="48"/>
      <w:lang w:eastAsia="en-US" w:bidi="en-US"/>
    </w:rPr>
  </w:style>
  <w:style w:type="paragraph" w:customStyle="1" w:styleId="5">
    <w:name w:val="Acetate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2024-05-15T17:18:00Z</dcterms:created>
  <dc:creator>gxxc</dc:creator>
  <cp:lastModifiedBy>gxxc</cp:lastModifiedBy>
  <dcterms:modified xsi:type="dcterms:W3CDTF">2024-05-15T17:19:06Z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