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left"/>
        <w:textAlignment w:val="auto"/>
        <w:rPr>
          <w:rFonts w:hint="eastAsia" w:ascii="黑体" w:hAnsi="黑体" w:eastAsia="黑体" w:cs="黑体"/>
          <w:b w:val="0"/>
          <w:bCs w:val="0"/>
          <w:kern w:val="2"/>
          <w:sz w:val="32"/>
          <w:szCs w:val="32"/>
          <w:u w:val="none"/>
          <w:lang w:val="en-US" w:eastAsia="zh-CN" w:bidi="ar-SA"/>
        </w:rPr>
      </w:pPr>
      <w:bookmarkStart w:id="0" w:name="_Toc28359042"/>
      <w:bookmarkStart w:id="1" w:name="_Toc35393832"/>
      <w:r>
        <w:rPr>
          <w:rFonts w:hint="eastAsia" w:ascii="黑体" w:hAnsi="黑体" w:eastAsia="黑体" w:cs="黑体"/>
          <w:b w:val="0"/>
          <w:bCs w:val="0"/>
          <w:kern w:val="2"/>
          <w:sz w:val="32"/>
          <w:szCs w:val="32"/>
          <w:u w:val="none"/>
          <w:lang w:val="en-US" w:eastAsia="zh-CN" w:bidi="ar-SA"/>
        </w:rPr>
        <w:t>附件</w:t>
      </w:r>
    </w:p>
    <w:p>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center"/>
        <w:textAlignment w:val="auto"/>
        <w:rPr>
          <w:rFonts w:hint="eastAsia" w:ascii="方正小标宋简体" w:hAnsi="方正小标宋简体" w:eastAsia="方正小标宋简体" w:cs="方正小标宋简体"/>
          <w:b w:val="0"/>
          <w:bCs w:val="0"/>
          <w:u w:val="none"/>
          <w:lang w:val="zh-CN" w:eastAsia="zh-CN"/>
        </w:rPr>
      </w:pPr>
    </w:p>
    <w:p>
      <w:pPr>
        <w:keepNext w:val="0"/>
        <w:keepLines w:val="0"/>
        <w:pageBreakBefore w:val="0"/>
        <w:widowControl w:val="0"/>
        <w:kinsoku/>
        <w:wordWrap/>
        <w:overflowPunct/>
        <w:topLinePunct w:val="0"/>
        <w:autoSpaceDE/>
        <w:autoSpaceDN/>
        <w:bidi w:val="0"/>
        <w:adjustRightInd/>
        <w:spacing w:line="560" w:lineRule="exact"/>
        <w:ind w:right="0"/>
        <w:jc w:val="center"/>
        <w:textAlignment w:val="auto"/>
        <w:rPr>
          <w:rFonts w:hint="eastAsia" w:ascii="方正小标宋简体" w:hAnsi="方正小标宋简体" w:eastAsia="方正小标宋简体" w:cs="方正小标宋简体"/>
          <w:b w:val="0"/>
          <w:bCs w:val="0"/>
          <w:sz w:val="44"/>
          <w:szCs w:val="44"/>
          <w:u w:val="none"/>
        </w:rPr>
      </w:pPr>
      <w:r>
        <w:rPr>
          <w:rFonts w:hint="eastAsia" w:ascii="方正小标宋简体" w:hAnsi="方正小标宋简体" w:eastAsia="方正小标宋简体" w:cs="方正小标宋简体"/>
          <w:sz w:val="44"/>
          <w:szCs w:val="44"/>
          <w:lang w:eastAsia="zh-Hans"/>
        </w:rPr>
        <w:t>“</w:t>
      </w:r>
      <w:r>
        <w:rPr>
          <w:rFonts w:hint="eastAsia" w:ascii="方正小标宋简体" w:hAnsi="方正小标宋简体" w:eastAsia="方正小标宋简体" w:cs="方正小标宋简体"/>
          <w:sz w:val="44"/>
          <w:szCs w:val="44"/>
          <w:lang w:val="en-US" w:eastAsia="zh-Hans"/>
        </w:rPr>
        <w:t>桂十味”品牌宣传推广建设</w:t>
      </w:r>
      <w:r>
        <w:rPr>
          <w:rFonts w:hint="eastAsia" w:ascii="方正小标宋简体" w:hAnsi="方正小标宋简体" w:eastAsia="方正小标宋简体" w:cs="方正小标宋简体"/>
          <w:b w:val="0"/>
          <w:bCs w:val="0"/>
          <w:sz w:val="44"/>
          <w:szCs w:val="44"/>
          <w:u w:val="none"/>
          <w:lang w:val="zh-CN" w:eastAsia="zh-CN"/>
        </w:rPr>
        <w:t>项目</w:t>
      </w:r>
      <w:r>
        <w:rPr>
          <w:rFonts w:hint="eastAsia" w:ascii="方正小标宋简体" w:hAnsi="方正小标宋简体" w:eastAsia="方正小标宋简体" w:cs="方正小标宋简体"/>
          <w:b w:val="0"/>
          <w:bCs w:val="0"/>
          <w:sz w:val="44"/>
          <w:szCs w:val="44"/>
          <w:u w:val="none"/>
        </w:rPr>
        <w:t>采购</w:t>
      </w:r>
      <w:bookmarkEnd w:id="0"/>
      <w:bookmarkEnd w:id="1"/>
      <w:r>
        <w:rPr>
          <w:rFonts w:hint="eastAsia" w:ascii="方正小标宋简体" w:hAnsi="方正小标宋简体" w:eastAsia="方正小标宋简体" w:cs="方正小标宋简体"/>
          <w:b w:val="0"/>
          <w:bCs w:val="0"/>
          <w:sz w:val="44"/>
          <w:szCs w:val="44"/>
          <w:u w:val="none"/>
        </w:rPr>
        <w:t>信息</w:t>
      </w:r>
    </w:p>
    <w:p>
      <w:pPr>
        <w:pStyle w:val="2"/>
        <w:rPr>
          <w:rFonts w:hint="eastAsia"/>
        </w:rPr>
      </w:pPr>
    </w:p>
    <w:p>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ind w:firstLine="560" w:firstLineChars="200"/>
        <w:jc w:val="left"/>
        <w:textAlignment w:val="auto"/>
        <w:rPr>
          <w:rFonts w:ascii="黑体" w:hAnsi="黑体" w:eastAsia="黑体"/>
          <w:b w:val="0"/>
          <w:bCs w:val="0"/>
          <w:sz w:val="28"/>
          <w:szCs w:val="28"/>
          <w:u w:val="none"/>
        </w:rPr>
      </w:pPr>
      <w:r>
        <w:rPr>
          <w:rFonts w:hint="eastAsia" w:ascii="黑体" w:hAnsi="黑体" w:eastAsia="黑体"/>
          <w:b w:val="0"/>
          <w:bCs w:val="0"/>
          <w:sz w:val="28"/>
          <w:szCs w:val="28"/>
          <w:u w:val="none"/>
        </w:rPr>
        <w:t>一、项目信息</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lang w:eastAsia="zh-CN"/>
        </w:rPr>
        <w:t>采</w:t>
      </w:r>
      <w:r>
        <w:rPr>
          <w:rFonts w:hint="eastAsia" w:ascii="仿宋_GB2312" w:hAnsi="仿宋_GB2312" w:eastAsia="仿宋_GB2312" w:cs="仿宋_GB2312"/>
          <w:b w:val="0"/>
          <w:bCs w:val="0"/>
          <w:sz w:val="32"/>
          <w:szCs w:val="32"/>
          <w:u w:val="none"/>
        </w:rPr>
        <w:t>购单位：</w:t>
      </w:r>
      <w:r>
        <w:rPr>
          <w:rFonts w:hint="eastAsia" w:ascii="仿宋_GB2312" w:hAnsi="仿宋_GB2312" w:eastAsia="仿宋_GB2312" w:cs="仿宋_GB2312"/>
          <w:b w:val="0"/>
          <w:bCs w:val="0"/>
          <w:sz w:val="32"/>
          <w:szCs w:val="32"/>
          <w:u w:val="none"/>
          <w:lang w:eastAsia="zh-CN"/>
        </w:rPr>
        <w:t>广西壮族自治区中医药管理局</w:t>
      </w:r>
      <w:r>
        <w:rPr>
          <w:rFonts w:hint="eastAsia" w:ascii="仿宋_GB2312" w:hAnsi="仿宋_GB2312" w:eastAsia="仿宋_GB2312" w:cs="仿宋_GB2312"/>
          <w:b w:val="0"/>
          <w:bCs w:val="0"/>
          <w:sz w:val="32"/>
          <w:szCs w:val="32"/>
          <w:u w:val="none"/>
        </w:rPr>
        <w:t>　</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lang w:val="zh-CN" w:eastAsia="zh-CN"/>
        </w:rPr>
      </w:pPr>
      <w:r>
        <w:rPr>
          <w:rFonts w:hint="eastAsia" w:ascii="仿宋_GB2312" w:hAnsi="仿宋_GB2312" w:eastAsia="仿宋_GB2312" w:cs="仿宋_GB2312"/>
          <w:b w:val="0"/>
          <w:bCs w:val="0"/>
          <w:sz w:val="32"/>
          <w:szCs w:val="32"/>
          <w:u w:val="none"/>
        </w:rPr>
        <w:t>项目名称：</w:t>
      </w:r>
      <w:r>
        <w:rPr>
          <w:rFonts w:hint="eastAsia" w:ascii="仿宋_GB2312" w:hAnsi="仿宋_GB2312" w:eastAsia="仿宋_GB2312" w:cs="仿宋_GB2312"/>
          <w:b w:val="0"/>
          <w:bCs w:val="0"/>
          <w:sz w:val="32"/>
          <w:szCs w:val="32"/>
          <w:u w:val="none"/>
          <w:lang w:eastAsia="zh-Hans"/>
        </w:rPr>
        <w:t>“</w:t>
      </w:r>
      <w:r>
        <w:rPr>
          <w:rFonts w:hint="eastAsia" w:ascii="仿宋_GB2312" w:hAnsi="仿宋_GB2312" w:eastAsia="仿宋_GB2312" w:cs="仿宋_GB2312"/>
          <w:b w:val="0"/>
          <w:bCs w:val="0"/>
          <w:sz w:val="32"/>
          <w:szCs w:val="32"/>
          <w:u w:val="none"/>
          <w:lang w:val="en-US" w:eastAsia="zh-Hans"/>
        </w:rPr>
        <w:t>桂十味”品牌宣传推广建设</w:t>
      </w:r>
      <w:r>
        <w:rPr>
          <w:rFonts w:hint="eastAsia" w:ascii="仿宋_GB2312" w:hAnsi="仿宋_GB2312" w:eastAsia="仿宋_GB2312" w:cs="仿宋_GB2312"/>
          <w:b w:val="0"/>
          <w:bCs w:val="0"/>
          <w:sz w:val="32"/>
          <w:szCs w:val="32"/>
          <w:u w:val="none"/>
          <w:lang w:val="zh-CN" w:eastAsia="zh-CN"/>
        </w:rPr>
        <w:t>项目</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u w:val="none"/>
        </w:rPr>
        <w:t>拟采购的货物或服务的说明：</w:t>
      </w:r>
      <w:r>
        <w:rPr>
          <w:rFonts w:hint="eastAsia" w:ascii="仿宋_GB2312" w:hAnsi="仿宋_GB2312" w:eastAsia="仿宋_GB2312" w:cs="仿宋_GB2312"/>
          <w:sz w:val="32"/>
          <w:szCs w:val="32"/>
          <w:lang w:val="en-US" w:eastAsia="zh-CN"/>
        </w:rPr>
        <w:t>开展</w:t>
      </w:r>
      <w:r>
        <w:rPr>
          <w:rFonts w:hint="eastAsia" w:ascii="仿宋_GB2312" w:hAnsi="仿宋_GB2312" w:eastAsia="仿宋_GB2312" w:cs="仿宋_GB2312"/>
          <w:sz w:val="32"/>
          <w:szCs w:val="32"/>
          <w:lang w:val="en-US" w:eastAsia="zh-Hans"/>
        </w:rPr>
        <w:t>“桂十味”品牌宣传推广工作</w:t>
      </w:r>
      <w:r>
        <w:rPr>
          <w:rFonts w:hint="eastAsia" w:ascii="仿宋_GB2312" w:hAnsi="仿宋_GB2312" w:eastAsia="仿宋_GB2312" w:cs="仿宋_GB2312"/>
          <w:color w:val="000000"/>
          <w:kern w:val="0"/>
          <w:sz w:val="32"/>
          <w:szCs w:val="32"/>
          <w:lang w:val="en-US" w:eastAsia="zh-Hans"/>
        </w:rPr>
        <w:t>，</w:t>
      </w:r>
      <w:r>
        <w:rPr>
          <w:rFonts w:hint="eastAsia" w:ascii="仿宋_GB2312" w:hAnsi="仿宋_GB2312" w:eastAsia="仿宋_GB2312" w:cs="仿宋_GB2312"/>
          <w:sz w:val="32"/>
          <w:szCs w:val="32"/>
          <w:lang w:eastAsia="zh-CN"/>
        </w:rPr>
        <w:t>通过多种媒体方式对中医药事业产业以及“桂十味”、“桂药膳”等品牌进行持续广泛推广，对首届广西中药材产业交流大会进行大力宣传。</w:t>
      </w:r>
      <w:r>
        <w:rPr>
          <w:rFonts w:hint="eastAsia" w:ascii="仿宋_GB2312" w:hAnsi="仿宋_GB2312" w:eastAsia="仿宋_GB2312" w:cs="仿宋_GB2312"/>
          <w:sz w:val="32"/>
          <w:szCs w:val="32"/>
          <w:lang w:val="en-US" w:eastAsia="zh-Hans"/>
        </w:rPr>
        <w:t>项目经费主要用于</w:t>
      </w:r>
      <w:r>
        <w:rPr>
          <w:rFonts w:hint="eastAsia" w:ascii="仿宋_GB2312" w:hAnsi="仿宋_GB2312" w:eastAsia="仿宋_GB2312" w:cs="仿宋_GB2312"/>
          <w:sz w:val="32"/>
          <w:szCs w:val="32"/>
          <w:lang w:eastAsia="zh-CN"/>
        </w:rPr>
        <w:t>制定宣传总体方案，移动媒体宣传方案，举办宣传推荐会</w:t>
      </w:r>
      <w:r>
        <w:rPr>
          <w:rFonts w:hint="eastAsia" w:ascii="仿宋_GB2312" w:hAnsi="仿宋_GB2312" w:eastAsia="仿宋_GB2312" w:cs="仿宋_GB2312"/>
          <w:sz w:val="32"/>
          <w:szCs w:val="32"/>
          <w:lang w:val="en-US" w:eastAsia="zh-CN"/>
        </w:rPr>
        <w:t>1次；为大会收集中医药产业素材</w:t>
      </w:r>
      <w:r>
        <w:rPr>
          <w:rFonts w:hint="eastAsia" w:ascii="仿宋_GB2312" w:hAnsi="仿宋_GB2312" w:eastAsia="仿宋_GB2312" w:cs="仿宋_GB2312"/>
          <w:sz w:val="32"/>
          <w:szCs w:val="32"/>
          <w:lang w:eastAsia="zh-CN"/>
        </w:rPr>
        <w:t>制作短视频</w:t>
      </w:r>
      <w:r>
        <w:rPr>
          <w:rFonts w:hint="eastAsia" w:ascii="仿宋_GB2312" w:hAnsi="仿宋_GB2312" w:eastAsia="仿宋_GB2312" w:cs="仿宋_GB2312"/>
          <w:sz w:val="32"/>
          <w:szCs w:val="32"/>
          <w:lang w:val="en-US" w:eastAsia="zh-CN"/>
        </w:rPr>
        <w:t>60条以上，通过广播、直播等方式开展宣传；为大会制作、发放具有中医药特色的展品或纪念品1000份以上。全方位、多渠道</w:t>
      </w:r>
      <w:r>
        <w:rPr>
          <w:rFonts w:hint="eastAsia" w:ascii="仿宋_GB2312" w:hAnsi="仿宋_GB2312" w:eastAsia="仿宋_GB2312" w:cs="仿宋_GB2312"/>
          <w:sz w:val="32"/>
          <w:szCs w:val="32"/>
          <w:lang w:eastAsia="zh-CN"/>
        </w:rPr>
        <w:t>做好广西中医药壮瑶医药产业宣传推广工作。</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rPr>
        <w:t>拟采购</w:t>
      </w:r>
      <w:r>
        <w:rPr>
          <w:rFonts w:hint="eastAsia" w:ascii="仿宋_GB2312" w:hAnsi="仿宋_GB2312" w:eastAsia="仿宋_GB2312" w:cs="仿宋_GB2312"/>
          <w:b w:val="0"/>
          <w:bCs w:val="0"/>
          <w:sz w:val="32"/>
          <w:szCs w:val="32"/>
          <w:u w:val="none"/>
          <w:lang w:eastAsia="zh-CN"/>
        </w:rPr>
        <w:t>的</w:t>
      </w:r>
      <w:r>
        <w:rPr>
          <w:rFonts w:hint="eastAsia" w:ascii="仿宋_GB2312" w:hAnsi="仿宋_GB2312" w:eastAsia="仿宋_GB2312" w:cs="仿宋_GB2312"/>
          <w:b w:val="0"/>
          <w:bCs w:val="0"/>
          <w:sz w:val="32"/>
          <w:szCs w:val="32"/>
          <w:u w:val="none"/>
        </w:rPr>
        <w:t>服务预算金额(元)：</w:t>
      </w:r>
      <w:r>
        <w:rPr>
          <w:rFonts w:hint="eastAsia" w:ascii="仿宋_GB2312" w:hAnsi="仿宋_GB2312" w:eastAsia="仿宋_GB2312" w:cs="仿宋_GB2312"/>
          <w:b w:val="0"/>
          <w:bCs w:val="0"/>
          <w:sz w:val="32"/>
          <w:szCs w:val="32"/>
          <w:u w:val="none"/>
          <w:lang w:val="en-US" w:eastAsia="zh-CN"/>
        </w:rPr>
        <w:t>1100000.00</w:t>
      </w:r>
      <w:r>
        <w:rPr>
          <w:rFonts w:hint="eastAsia" w:ascii="仿宋_GB2312" w:hAnsi="仿宋_GB2312" w:eastAsia="仿宋_GB2312" w:cs="仿宋_GB2312"/>
          <w:b w:val="0"/>
          <w:bCs w:val="0"/>
          <w:sz w:val="32"/>
          <w:szCs w:val="32"/>
          <w:u w:val="none"/>
        </w:rPr>
        <w:t>　</w:t>
      </w:r>
    </w:p>
    <w:p>
      <w:pPr>
        <w:keepNext w:val="0"/>
        <w:keepLines w:val="0"/>
        <w:pageBreakBefore w:val="0"/>
        <w:widowControl w:val="0"/>
        <w:kinsoku/>
        <w:wordWrap/>
        <w:overflowPunct/>
        <w:topLinePunct w:val="0"/>
        <w:autoSpaceDE/>
        <w:autoSpaceDN/>
        <w:bidi w:val="0"/>
        <w:adjustRightInd/>
        <w:spacing w:line="560" w:lineRule="exact"/>
        <w:ind w:right="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u w:val="none"/>
        </w:rPr>
        <w:t>采用单一来源采购方式的原因及说明：</w:t>
      </w:r>
      <w:r>
        <w:rPr>
          <w:rFonts w:hint="eastAsia" w:ascii="仿宋_GB2312" w:hAnsi="仿宋_GB2312" w:eastAsia="仿宋_GB2312" w:cs="仿宋_GB2312"/>
          <w:sz w:val="32"/>
          <w:szCs w:val="32"/>
          <w:lang w:val="en-US" w:eastAsia="zh-Hans"/>
        </w:rPr>
        <w:t>广西壮族自治区中医药研究院</w:t>
      </w:r>
      <w:r>
        <w:rPr>
          <w:rFonts w:hint="eastAsia" w:ascii="仿宋_GB2312" w:hAnsi="仿宋_GB2312" w:eastAsia="仿宋_GB2312" w:cs="仿宋_GB2312"/>
          <w:sz w:val="32"/>
          <w:szCs w:val="32"/>
          <w:lang w:val="en-US" w:eastAsia="zh-CN"/>
        </w:rPr>
        <w:t>是自治区</w:t>
      </w:r>
      <w:r>
        <w:rPr>
          <w:rFonts w:hint="eastAsia" w:ascii="仿宋_GB2312" w:hAnsi="仿宋_GB2312" w:eastAsia="仿宋_GB2312" w:cs="仿宋_GB2312"/>
          <w:sz w:val="32"/>
          <w:szCs w:val="32"/>
          <w:lang w:val="en-US" w:eastAsia="zh-Hans"/>
        </w:rPr>
        <w:t>中医药局</w:t>
      </w:r>
      <w:r>
        <w:rPr>
          <w:rFonts w:hint="eastAsia" w:ascii="仿宋_GB2312" w:hAnsi="仿宋_GB2312" w:eastAsia="仿宋_GB2312" w:cs="仿宋_GB2312"/>
          <w:sz w:val="32"/>
          <w:szCs w:val="32"/>
          <w:lang w:val="en-US" w:eastAsia="zh-CN"/>
        </w:rPr>
        <w:t>直属二级公益类事业单位，</w:t>
      </w:r>
      <w:r>
        <w:rPr>
          <w:rFonts w:hint="eastAsia" w:ascii="仿宋_GB2312" w:hAnsi="仿宋_GB2312" w:eastAsia="仿宋_GB2312" w:cs="仿宋_GB2312"/>
          <w:sz w:val="32"/>
          <w:szCs w:val="32"/>
          <w:lang w:val="en-US" w:eastAsia="zh-Hans"/>
        </w:rPr>
        <w:t>是广西成立最早、规模较大、学科齐全、综合实力较强、主要从事中药民族药开发研究的专业机构。作为全区各级中医药医疗机构研发公共服务平台，该单位服务全区</w:t>
      </w:r>
      <w:r>
        <w:rPr>
          <w:rFonts w:hint="default" w:ascii="仿宋_GB2312" w:hAnsi="仿宋_GB2312" w:eastAsia="仿宋_GB2312" w:cs="仿宋_GB2312"/>
          <w:sz w:val="32"/>
          <w:szCs w:val="32"/>
          <w:lang w:eastAsia="zh-Hans"/>
        </w:rPr>
        <w:t>100</w:t>
      </w:r>
      <w:r>
        <w:rPr>
          <w:rFonts w:hint="eastAsia" w:ascii="仿宋_GB2312" w:hAnsi="仿宋_GB2312" w:eastAsia="仿宋_GB2312" w:cs="仿宋_GB2312"/>
          <w:sz w:val="32"/>
          <w:szCs w:val="32"/>
          <w:lang w:val="en-US" w:eastAsia="zh-Hans"/>
        </w:rPr>
        <w:t>余家制药企业及医疗机构，长期开展“桂十味”道地药材的研究工作，在“桂十味”品牌宣传推广、促进我区“桂十味”产业发展起到重要作用，</w:t>
      </w:r>
      <w:r>
        <w:rPr>
          <w:rFonts w:hint="eastAsia" w:ascii="仿宋_GB2312" w:hAnsi="仿宋_GB2312" w:eastAsia="仿宋_GB2312" w:cs="仿宋_GB2312"/>
          <w:sz w:val="32"/>
          <w:szCs w:val="32"/>
        </w:rPr>
        <w:t>完全具备承接完成项目的能力</w:t>
      </w:r>
      <w:r>
        <w:rPr>
          <w:rFonts w:hint="eastAsia" w:ascii="仿宋_GB2312" w:hAnsi="仿宋_GB2312" w:eastAsia="仿宋_GB2312" w:cs="仿宋_GB2312"/>
          <w:sz w:val="32"/>
          <w:szCs w:val="32"/>
          <w:lang w:eastAsia="zh-CN"/>
        </w:rPr>
        <w:t>，且具有唯一性。</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color w:val="000000"/>
          <w:sz w:val="32"/>
          <w:szCs w:val="32"/>
          <w:lang w:eastAsia="zh-CN"/>
        </w:rPr>
        <w:t>因此，采用</w:t>
      </w:r>
      <w:r>
        <w:rPr>
          <w:rFonts w:hint="eastAsia" w:ascii="仿宋_GB2312" w:hAnsi="仿宋_GB2312" w:eastAsia="仿宋_GB2312" w:cs="仿宋_GB2312"/>
          <w:color w:val="000000"/>
          <w:sz w:val="32"/>
          <w:szCs w:val="32"/>
        </w:rPr>
        <w:t>单一来源采购方式</w:t>
      </w:r>
      <w:r>
        <w:rPr>
          <w:rFonts w:hint="eastAsia" w:ascii="仿宋_GB2312" w:hAnsi="仿宋_GB2312" w:eastAsia="仿宋_GB2312" w:cs="仿宋_GB2312"/>
          <w:color w:val="000000"/>
          <w:sz w:val="32"/>
          <w:szCs w:val="32"/>
          <w:lang w:eastAsia="zh-CN"/>
        </w:rPr>
        <w:t>采购“</w:t>
      </w:r>
      <w:r>
        <w:rPr>
          <w:rFonts w:hint="eastAsia" w:ascii="仿宋_GB2312" w:hAnsi="仿宋_GB2312" w:eastAsia="仿宋_GB2312" w:cs="仿宋_GB2312"/>
          <w:color w:val="000000"/>
          <w:sz w:val="32"/>
          <w:szCs w:val="32"/>
          <w:lang w:val="en-US" w:eastAsia="zh-CN"/>
        </w:rPr>
        <w:t>桂十味”品牌宣传推广建设</w:t>
      </w:r>
      <w:r>
        <w:rPr>
          <w:rFonts w:hint="eastAsia" w:ascii="仿宋_GB2312" w:hAnsi="仿宋_GB2312" w:eastAsia="仿宋_GB2312" w:cs="仿宋_GB2312"/>
          <w:sz w:val="32"/>
          <w:szCs w:val="32"/>
          <w:lang w:eastAsia="zh-CN"/>
        </w:rPr>
        <w:t>项目</w:t>
      </w:r>
      <w:r>
        <w:rPr>
          <w:rFonts w:hint="eastAsia" w:ascii="仿宋_GB2312" w:hAnsi="仿宋_GB2312" w:eastAsia="仿宋_GB2312" w:cs="仿宋_GB2312"/>
          <w:color w:val="000000"/>
          <w:sz w:val="32"/>
          <w:szCs w:val="32"/>
          <w:lang w:eastAsia="zh-CN"/>
        </w:rPr>
        <w:t>，并委托</w:t>
      </w:r>
      <w:r>
        <w:rPr>
          <w:rFonts w:hint="eastAsia" w:ascii="仿宋_GB2312" w:hAnsi="仿宋_GB2312" w:eastAsia="仿宋_GB2312" w:cs="仿宋_GB2312"/>
          <w:sz w:val="32"/>
          <w:szCs w:val="32"/>
          <w:lang w:val="en-US" w:eastAsia="zh-Hans"/>
        </w:rPr>
        <w:t>广西壮族自治区中医药研究院</w:t>
      </w:r>
      <w:r>
        <w:rPr>
          <w:rFonts w:hint="eastAsia" w:ascii="仿宋_GB2312" w:hAnsi="仿宋_GB2312" w:eastAsia="仿宋_GB2312" w:cs="仿宋_GB2312"/>
          <w:sz w:val="32"/>
          <w:szCs w:val="32"/>
          <w:lang w:val="en-US" w:eastAsia="zh-CN"/>
        </w:rPr>
        <w:t>为</w:t>
      </w:r>
      <w:r>
        <w:rPr>
          <w:rFonts w:hint="eastAsia" w:ascii="仿宋_GB2312" w:hAnsi="仿宋_GB2312" w:eastAsia="仿宋_GB2312" w:cs="仿宋_GB2312"/>
          <w:color w:val="000000"/>
          <w:sz w:val="32"/>
          <w:szCs w:val="32"/>
        </w:rPr>
        <w:t>承接</w:t>
      </w:r>
      <w:r>
        <w:rPr>
          <w:rFonts w:hint="eastAsia" w:ascii="仿宋_GB2312" w:hAnsi="仿宋_GB2312" w:eastAsia="仿宋_GB2312" w:cs="仿宋_GB2312"/>
          <w:color w:val="000000"/>
          <w:sz w:val="32"/>
          <w:szCs w:val="32"/>
          <w:lang w:eastAsia="zh-CN"/>
        </w:rPr>
        <w:t>单位</w:t>
      </w:r>
      <w:r>
        <w:rPr>
          <w:rFonts w:hint="eastAsia" w:ascii="仿宋_GB2312" w:hAnsi="仿宋_GB2312" w:eastAsia="仿宋_GB2312" w:cs="仿宋_GB2312"/>
          <w:color w:val="000000"/>
          <w:sz w:val="32"/>
          <w:szCs w:val="32"/>
        </w:rPr>
        <w:t>，是可行的</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必要的</w:t>
      </w:r>
      <w:r>
        <w:rPr>
          <w:rFonts w:hint="eastAsia" w:ascii="仿宋_GB2312" w:hAnsi="仿宋_GB2312" w:eastAsia="仿宋_GB2312" w:cs="仿宋_GB2312"/>
          <w:sz w:val="32"/>
          <w:szCs w:val="32"/>
        </w:rPr>
        <w:t>。</w:t>
      </w:r>
      <w:r>
        <w:rPr>
          <w:rFonts w:hint="eastAsia" w:ascii="仿宋_GB2312" w:hAnsi="仿宋_GB2312" w:eastAsia="仿宋_GB2312" w:cs="仿宋_GB2312"/>
          <w:b w:val="0"/>
          <w:bCs w:val="0"/>
          <w:sz w:val="32"/>
          <w:szCs w:val="32"/>
          <w:lang w:val="en-US" w:eastAsia="zh-CN"/>
        </w:rPr>
        <w:t>采购符合《中华人民共和国政府采购法》，符合《广西壮族自治区财政厅关于进一步规范政府采购单一来源采购方式管理的通知》（桂财规〔2021〕4号）中的第一种情形要求。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黑体" w:hAnsi="黑体" w:eastAsia="黑体"/>
          <w:b w:val="0"/>
          <w:bCs w:val="0"/>
          <w:sz w:val="28"/>
          <w:szCs w:val="28"/>
          <w:highlight w:val="none"/>
          <w:u w:val="none"/>
        </w:rPr>
      </w:pPr>
      <w:r>
        <w:rPr>
          <w:rFonts w:hint="eastAsia" w:ascii="黑体" w:hAnsi="黑体" w:eastAsia="黑体"/>
          <w:b w:val="0"/>
          <w:bCs w:val="0"/>
          <w:sz w:val="28"/>
          <w:szCs w:val="28"/>
          <w:highlight w:val="none"/>
          <w:u w:val="none"/>
          <w:lang w:eastAsia="zh-CN"/>
        </w:rPr>
        <w:t>二、</w:t>
      </w:r>
      <w:r>
        <w:rPr>
          <w:rFonts w:hint="eastAsia" w:ascii="黑体" w:hAnsi="黑体" w:eastAsia="黑体"/>
          <w:b w:val="0"/>
          <w:bCs w:val="0"/>
          <w:sz w:val="28"/>
          <w:szCs w:val="28"/>
          <w:highlight w:val="none"/>
          <w:u w:val="none"/>
        </w:rPr>
        <w:t>拟定供应商信息</w:t>
      </w:r>
      <w:bookmarkStart w:id="2" w:name="_GoBack"/>
      <w:bookmarkEnd w:id="2"/>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eastAsia" w:ascii="仿宋_GB2312" w:hAnsi="仿宋_GB2312" w:eastAsia="仿宋_GB2312" w:cs="仿宋_GB2312"/>
          <w:b w:val="0"/>
          <w:bCs w:val="0"/>
          <w:sz w:val="32"/>
          <w:szCs w:val="32"/>
          <w:u w:val="none"/>
          <w:lang w:val="en-US" w:eastAsia="zh-Hans"/>
        </w:rPr>
      </w:pPr>
      <w:r>
        <w:rPr>
          <w:rFonts w:hint="eastAsia" w:ascii="仿宋_GB2312" w:hAnsi="仿宋_GB2312" w:eastAsia="仿宋_GB2312" w:cs="仿宋_GB2312"/>
          <w:b w:val="0"/>
          <w:bCs w:val="0"/>
          <w:sz w:val="32"/>
          <w:szCs w:val="32"/>
          <w:u w:val="none"/>
        </w:rPr>
        <w:t>名称：</w:t>
      </w:r>
      <w:r>
        <w:rPr>
          <w:rFonts w:hint="eastAsia" w:ascii="仿宋_GB2312" w:hAnsi="仿宋_GB2312" w:eastAsia="仿宋_GB2312" w:cs="仿宋_GB2312"/>
          <w:b w:val="0"/>
          <w:bCs w:val="0"/>
          <w:sz w:val="32"/>
          <w:szCs w:val="32"/>
          <w:u w:val="none"/>
          <w:lang w:eastAsia="zh-CN"/>
        </w:rPr>
        <w:t>广西壮族</w:t>
      </w:r>
      <w:r>
        <w:rPr>
          <w:rFonts w:hint="eastAsia" w:ascii="仿宋_GB2312" w:hAnsi="仿宋_GB2312" w:eastAsia="仿宋_GB2312" w:cs="仿宋_GB2312"/>
          <w:b w:val="0"/>
          <w:bCs w:val="0"/>
          <w:sz w:val="32"/>
          <w:szCs w:val="32"/>
          <w:u w:val="none"/>
        </w:rPr>
        <w:t>自治区</w:t>
      </w:r>
      <w:r>
        <w:rPr>
          <w:rFonts w:hint="eastAsia" w:ascii="仿宋_GB2312" w:hAnsi="仿宋_GB2312" w:eastAsia="仿宋_GB2312" w:cs="仿宋_GB2312"/>
          <w:b w:val="0"/>
          <w:bCs w:val="0"/>
          <w:sz w:val="32"/>
          <w:szCs w:val="32"/>
          <w:u w:val="none"/>
          <w:lang w:val="en-US" w:eastAsia="zh-Hans"/>
        </w:rPr>
        <w:t>中医药研究院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default" w:ascii="仿宋_GB2312" w:hAnsi="仿宋_GB2312" w:eastAsia="仿宋_GB2312" w:cs="仿宋_GB2312"/>
          <w:b w:val="0"/>
          <w:bCs w:val="0"/>
          <w:sz w:val="32"/>
          <w:szCs w:val="32"/>
          <w:highlight w:val="none"/>
          <w:u w:val="none"/>
          <w:lang w:val="en-US" w:eastAsia="zh-Hans"/>
        </w:rPr>
      </w:pPr>
      <w:r>
        <w:rPr>
          <w:rFonts w:hint="eastAsia" w:ascii="仿宋_GB2312" w:hAnsi="仿宋_GB2312" w:eastAsia="仿宋_GB2312" w:cs="仿宋_GB2312"/>
          <w:b w:val="0"/>
          <w:bCs w:val="0"/>
          <w:sz w:val="32"/>
          <w:szCs w:val="32"/>
          <w:highlight w:val="none"/>
          <w:u w:val="none"/>
        </w:rPr>
        <w:t>地址</w:t>
      </w:r>
      <w:r>
        <w:rPr>
          <w:rFonts w:hint="eastAsia" w:ascii="仿宋_GB2312" w:hAnsi="仿宋_GB2312" w:eastAsia="仿宋_GB2312" w:cs="仿宋_GB2312"/>
          <w:b w:val="0"/>
          <w:bCs w:val="0"/>
          <w:sz w:val="32"/>
          <w:szCs w:val="32"/>
          <w:highlight w:val="none"/>
          <w:u w:val="none"/>
          <w:lang w:eastAsia="zh-CN"/>
        </w:rPr>
        <w:t>：广西南宁市</w:t>
      </w:r>
      <w:r>
        <w:rPr>
          <w:rFonts w:hint="eastAsia" w:ascii="仿宋_GB2312" w:hAnsi="仿宋_GB2312" w:eastAsia="仿宋_GB2312" w:cs="仿宋_GB2312"/>
          <w:b w:val="0"/>
          <w:bCs w:val="0"/>
          <w:sz w:val="32"/>
          <w:szCs w:val="32"/>
          <w:highlight w:val="none"/>
          <w:u w:val="none"/>
          <w:lang w:val="en-US" w:eastAsia="zh-Hans"/>
        </w:rPr>
        <w:t>东葛路</w:t>
      </w:r>
      <w:r>
        <w:rPr>
          <w:rFonts w:hint="default" w:ascii="仿宋_GB2312" w:hAnsi="仿宋_GB2312" w:eastAsia="仿宋_GB2312" w:cs="仿宋_GB2312"/>
          <w:b w:val="0"/>
          <w:bCs w:val="0"/>
          <w:sz w:val="32"/>
          <w:szCs w:val="32"/>
          <w:highlight w:val="none"/>
          <w:u w:val="none"/>
          <w:lang w:eastAsia="zh-Hans"/>
        </w:rPr>
        <w:t>20-1</w:t>
      </w:r>
      <w:r>
        <w:rPr>
          <w:rFonts w:hint="eastAsia" w:ascii="仿宋_GB2312" w:hAnsi="仿宋_GB2312" w:eastAsia="仿宋_GB2312" w:cs="仿宋_GB2312"/>
          <w:b w:val="0"/>
          <w:bCs w:val="0"/>
          <w:sz w:val="32"/>
          <w:szCs w:val="32"/>
          <w:highlight w:val="none"/>
          <w:u w:val="none"/>
          <w:lang w:val="en-US" w:eastAsia="zh-Hans"/>
        </w:rPr>
        <w:t>号</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default" w:ascii="仿宋_GB2312" w:hAnsi="仿宋_GB2312" w:eastAsia="仿宋_GB2312" w:cs="仿宋_GB2312"/>
          <w:b w:val="0"/>
          <w:bCs w:val="0"/>
          <w:sz w:val="32"/>
          <w:szCs w:val="32"/>
          <w:highlight w:val="none"/>
          <w:u w:val="none"/>
          <w:lang w:eastAsia="zh-CN"/>
        </w:rPr>
      </w:pPr>
      <w:r>
        <w:rPr>
          <w:rFonts w:hint="eastAsia" w:ascii="仿宋_GB2312" w:hAnsi="仿宋_GB2312" w:eastAsia="仿宋_GB2312" w:cs="仿宋_GB2312"/>
          <w:b w:val="0"/>
          <w:bCs w:val="0"/>
          <w:sz w:val="32"/>
          <w:szCs w:val="32"/>
          <w:highlight w:val="none"/>
          <w:u w:val="none"/>
        </w:rPr>
        <w:t>联系人</w:t>
      </w:r>
      <w:r>
        <w:rPr>
          <w:rFonts w:hint="eastAsia" w:ascii="仿宋_GB2312" w:hAnsi="仿宋_GB2312" w:eastAsia="仿宋_GB2312" w:cs="仿宋_GB2312"/>
          <w:b w:val="0"/>
          <w:bCs w:val="0"/>
          <w:sz w:val="32"/>
          <w:szCs w:val="32"/>
          <w:highlight w:val="none"/>
          <w:u w:val="none"/>
          <w:lang w:val="en-US" w:eastAsia="zh-Hans"/>
        </w:rPr>
        <w:t>及联系电话：梁威</w:t>
      </w:r>
      <w:r>
        <w:rPr>
          <w:rFonts w:hint="default" w:ascii="仿宋_GB2312" w:hAnsi="仿宋_GB2312" w:eastAsia="仿宋_GB2312" w:cs="仿宋_GB2312"/>
          <w:b w:val="0"/>
          <w:bCs w:val="0"/>
          <w:sz w:val="32"/>
          <w:szCs w:val="32"/>
          <w:highlight w:val="none"/>
          <w:u w:val="none"/>
          <w:lang w:eastAsia="zh-Hans"/>
        </w:rPr>
        <w:t xml:space="preserve"> </w:t>
      </w:r>
      <w:r>
        <w:rPr>
          <w:rFonts w:hint="eastAsia" w:ascii="仿宋_GB2312" w:hAnsi="仿宋_GB2312" w:eastAsia="仿宋_GB2312" w:cs="仿宋_GB2312"/>
          <w:b w:val="0"/>
          <w:bCs w:val="0"/>
          <w:sz w:val="32"/>
          <w:szCs w:val="32"/>
          <w:highlight w:val="none"/>
          <w:u w:val="none"/>
        </w:rPr>
        <w:t>0771-58</w:t>
      </w:r>
      <w:r>
        <w:rPr>
          <w:rFonts w:hint="default" w:ascii="仿宋_GB2312" w:hAnsi="仿宋_GB2312" w:eastAsia="仿宋_GB2312" w:cs="仿宋_GB2312"/>
          <w:b w:val="0"/>
          <w:bCs w:val="0"/>
          <w:sz w:val="32"/>
          <w:szCs w:val="32"/>
          <w:highlight w:val="none"/>
          <w:u w:val="none"/>
        </w:rPr>
        <w:t>84291</w:t>
      </w:r>
    </w:p>
    <w:p>
      <w:pPr>
        <w:pageBreakBefore w:val="0"/>
        <w:widowControl w:val="0"/>
        <w:kinsoku/>
        <w:wordWrap/>
        <w:overflowPunct/>
        <w:topLinePunct w:val="0"/>
        <w:bidi w:val="0"/>
        <w:snapToGrid/>
        <w:spacing w:line="560" w:lineRule="exact"/>
        <w:ind w:firstLine="560" w:firstLineChars="200"/>
        <w:jc w:val="left"/>
        <w:textAlignment w:val="auto"/>
        <w:rPr>
          <w:rFonts w:hint="eastAsia" w:ascii="黑体" w:hAnsi="黑体" w:eastAsia="黑体"/>
          <w:b w:val="0"/>
          <w:bCs w:val="0"/>
          <w:sz w:val="28"/>
          <w:szCs w:val="28"/>
          <w:highlight w:val="none"/>
          <w:u w:val="none"/>
          <w:lang w:val="en-US" w:eastAsia="zh-CN"/>
        </w:rPr>
      </w:pPr>
      <w:r>
        <w:rPr>
          <w:rFonts w:hint="eastAsia" w:ascii="黑体" w:hAnsi="黑体" w:eastAsia="黑体"/>
          <w:b w:val="0"/>
          <w:bCs w:val="0"/>
          <w:sz w:val="28"/>
          <w:szCs w:val="28"/>
          <w:highlight w:val="none"/>
          <w:u w:val="none"/>
        </w:rPr>
        <w:t>三、</w:t>
      </w:r>
      <w:r>
        <w:rPr>
          <w:rFonts w:ascii="黑体" w:hAnsi="黑体" w:eastAsia="黑体"/>
          <w:b w:val="0"/>
          <w:bCs w:val="0"/>
          <w:sz w:val="28"/>
          <w:szCs w:val="28"/>
          <w:highlight w:val="none"/>
          <w:u w:val="none"/>
        </w:rPr>
        <w:t>其他</w:t>
      </w:r>
      <w:r>
        <w:rPr>
          <w:rFonts w:hint="eastAsia" w:ascii="黑体" w:hAnsi="黑体" w:eastAsia="黑体"/>
          <w:b w:val="0"/>
          <w:bCs w:val="0"/>
          <w:sz w:val="28"/>
          <w:szCs w:val="28"/>
          <w:highlight w:val="none"/>
          <w:u w:val="none"/>
        </w:rPr>
        <w:t>补充事宜：</w:t>
      </w:r>
      <w:r>
        <w:rPr>
          <w:rFonts w:hint="eastAsia" w:ascii="仿宋_GB2312" w:hAnsi="仿宋_GB2312" w:eastAsia="仿宋_GB2312" w:cs="仿宋_GB2312"/>
          <w:b w:val="0"/>
          <w:bCs w:val="0"/>
          <w:sz w:val="32"/>
          <w:szCs w:val="32"/>
          <w:highlight w:val="none"/>
          <w:u w:val="none"/>
          <w:lang w:eastAsia="zh-CN"/>
        </w:rPr>
        <w:t>无</w:t>
      </w:r>
    </w:p>
    <w:p>
      <w:pPr>
        <w:pageBreakBefore w:val="0"/>
        <w:widowControl w:val="0"/>
        <w:kinsoku/>
        <w:wordWrap/>
        <w:overflowPunct/>
        <w:topLinePunct w:val="0"/>
        <w:bidi w:val="0"/>
        <w:snapToGrid/>
        <w:spacing w:line="560" w:lineRule="exact"/>
        <w:ind w:firstLine="560" w:firstLineChars="200"/>
        <w:jc w:val="left"/>
        <w:textAlignment w:val="auto"/>
        <w:rPr>
          <w:rFonts w:hint="eastAsia" w:ascii="黑体" w:hAnsi="黑体" w:eastAsia="黑体"/>
          <w:b w:val="0"/>
          <w:bCs w:val="0"/>
          <w:sz w:val="28"/>
          <w:szCs w:val="28"/>
          <w:highlight w:val="none"/>
          <w:u w:val="none"/>
        </w:rPr>
      </w:pPr>
      <w:r>
        <w:rPr>
          <w:rFonts w:hint="eastAsia" w:ascii="黑体" w:hAnsi="黑体" w:eastAsia="黑体"/>
          <w:b w:val="0"/>
          <w:bCs w:val="0"/>
          <w:sz w:val="28"/>
          <w:szCs w:val="28"/>
          <w:highlight w:val="none"/>
          <w:u w:val="none"/>
        </w:rPr>
        <w:t>四</w:t>
      </w:r>
      <w:r>
        <w:rPr>
          <w:rFonts w:ascii="黑体" w:hAnsi="黑体" w:eastAsia="黑体"/>
          <w:b w:val="0"/>
          <w:bCs w:val="0"/>
          <w:sz w:val="28"/>
          <w:szCs w:val="28"/>
          <w:highlight w:val="none"/>
          <w:u w:val="none"/>
        </w:rPr>
        <w:t>、</w:t>
      </w:r>
      <w:r>
        <w:rPr>
          <w:rFonts w:hint="eastAsia" w:ascii="黑体" w:hAnsi="黑体" w:eastAsia="黑体"/>
          <w:b w:val="0"/>
          <w:bCs w:val="0"/>
          <w:sz w:val="28"/>
          <w:szCs w:val="28"/>
          <w:highlight w:val="none"/>
          <w:u w:val="none"/>
          <w:lang w:eastAsia="zh-CN"/>
        </w:rPr>
        <w:t>采购方</w:t>
      </w:r>
      <w:r>
        <w:rPr>
          <w:rFonts w:hint="eastAsia" w:ascii="黑体" w:hAnsi="黑体" w:eastAsia="黑体"/>
          <w:b w:val="0"/>
          <w:bCs w:val="0"/>
          <w:sz w:val="28"/>
          <w:szCs w:val="28"/>
          <w:highlight w:val="none"/>
          <w:u w:val="none"/>
        </w:rPr>
        <w:t>联系方式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pacing w:val="-6"/>
          <w:sz w:val="32"/>
          <w:szCs w:val="32"/>
          <w:highlight w:val="none"/>
          <w:u w:val="none"/>
          <w:lang w:val="en-US" w:eastAsia="zh-CN"/>
        </w:rPr>
      </w:pPr>
      <w:r>
        <w:rPr>
          <w:rFonts w:hint="eastAsia" w:ascii="仿宋_GB2312" w:hAnsi="仿宋_GB2312" w:eastAsia="仿宋_GB2312" w:cs="仿宋_GB2312"/>
          <w:b w:val="0"/>
          <w:bCs w:val="0"/>
          <w:sz w:val="32"/>
          <w:szCs w:val="32"/>
          <w:highlight w:val="none"/>
          <w:u w:val="none"/>
        </w:rPr>
        <w:t>联系</w:t>
      </w:r>
      <w:r>
        <w:rPr>
          <w:rFonts w:hint="eastAsia" w:ascii="仿宋_GB2312" w:hAnsi="仿宋_GB2312" w:eastAsia="仿宋_GB2312" w:cs="仿宋_GB2312"/>
          <w:b w:val="0"/>
          <w:bCs w:val="0"/>
          <w:sz w:val="32"/>
          <w:szCs w:val="32"/>
          <w:highlight w:val="none"/>
          <w:u w:val="none"/>
          <w:lang w:eastAsia="zh-CN"/>
        </w:rPr>
        <w:t>地址：</w:t>
      </w:r>
      <w:r>
        <w:rPr>
          <w:rFonts w:hint="eastAsia" w:ascii="仿宋_GB2312" w:hAnsi="仿宋_GB2312" w:eastAsia="仿宋_GB2312" w:cs="仿宋_GB2312"/>
          <w:b w:val="0"/>
          <w:bCs w:val="0"/>
          <w:spacing w:val="-6"/>
          <w:sz w:val="32"/>
          <w:szCs w:val="32"/>
          <w:highlight w:val="none"/>
          <w:u w:val="none"/>
          <w:lang w:eastAsia="zh-CN"/>
        </w:rPr>
        <w:t>南宁市青秀区桃源路</w:t>
      </w:r>
      <w:r>
        <w:rPr>
          <w:rFonts w:hint="eastAsia" w:ascii="仿宋_GB2312" w:hAnsi="仿宋_GB2312" w:eastAsia="仿宋_GB2312" w:cs="仿宋_GB2312"/>
          <w:b w:val="0"/>
          <w:bCs w:val="0"/>
          <w:spacing w:val="-6"/>
          <w:sz w:val="32"/>
          <w:szCs w:val="32"/>
          <w:highlight w:val="none"/>
          <w:u w:val="none"/>
          <w:lang w:val="en-US" w:eastAsia="zh-CN"/>
        </w:rPr>
        <w:t>35号</w:t>
      </w:r>
    </w:p>
    <w:p>
      <w:pPr>
        <w:keepNext w:val="0"/>
        <w:keepLines w:val="0"/>
        <w:pageBreakBefore w:val="0"/>
        <w:widowControl w:val="0"/>
        <w:kinsoku/>
        <w:wordWrap/>
        <w:overflowPunct/>
        <w:topLinePunct w:val="0"/>
        <w:autoSpaceDE/>
        <w:autoSpaceDN/>
        <w:bidi w:val="0"/>
        <w:adjustRightInd/>
        <w:snapToGrid/>
        <w:spacing w:line="560" w:lineRule="exact"/>
        <w:ind w:firstLine="2156" w:firstLineChars="700"/>
        <w:textAlignment w:val="auto"/>
      </w:pPr>
      <w:r>
        <w:rPr>
          <w:rFonts w:hint="eastAsia" w:ascii="仿宋_GB2312" w:hAnsi="仿宋_GB2312" w:eastAsia="仿宋_GB2312" w:cs="仿宋_GB2312"/>
          <w:b w:val="0"/>
          <w:bCs w:val="0"/>
          <w:spacing w:val="-6"/>
          <w:sz w:val="32"/>
          <w:szCs w:val="32"/>
          <w:highlight w:val="none"/>
          <w:u w:val="none"/>
          <w:lang w:eastAsia="zh-CN"/>
        </w:rPr>
        <w:t>自治区中医药局</w:t>
      </w:r>
      <w:r>
        <w:rPr>
          <w:rFonts w:hint="eastAsia" w:ascii="仿宋_GB2312" w:hAnsi="仿宋_GB2312" w:eastAsia="仿宋_GB2312" w:cs="仿宋_GB2312"/>
          <w:b w:val="0"/>
          <w:bCs w:val="0"/>
          <w:spacing w:val="-6"/>
          <w:sz w:val="32"/>
          <w:szCs w:val="32"/>
          <w:highlight w:val="none"/>
          <w:u w:val="none"/>
          <w:lang w:val="en-US" w:eastAsia="zh-Hans"/>
        </w:rPr>
        <w:t>规划产业</w:t>
      </w:r>
      <w:r>
        <w:rPr>
          <w:rFonts w:hint="eastAsia" w:ascii="仿宋_GB2312" w:hAnsi="仿宋_GB2312" w:eastAsia="仿宋_GB2312" w:cs="仿宋_GB2312"/>
          <w:b w:val="0"/>
          <w:bCs w:val="0"/>
          <w:spacing w:val="-6"/>
          <w:sz w:val="32"/>
          <w:szCs w:val="32"/>
          <w:highlight w:val="none"/>
          <w:u w:val="none"/>
          <w:lang w:eastAsia="zh-CN"/>
        </w:rPr>
        <w:t>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u w:val="none"/>
        </w:rPr>
      </w:pPr>
      <w:r>
        <w:rPr>
          <w:rFonts w:hint="eastAsia" w:ascii="仿宋_GB2312" w:hAnsi="仿宋_GB2312" w:eastAsia="仿宋_GB2312" w:cs="仿宋_GB2312"/>
          <w:b w:val="0"/>
          <w:bCs w:val="0"/>
          <w:sz w:val="32"/>
          <w:szCs w:val="32"/>
          <w:highlight w:val="none"/>
          <w:u w:val="none"/>
          <w:lang w:val="en-US" w:eastAsia="zh-CN"/>
        </w:rPr>
        <w:t>联系人</w:t>
      </w:r>
      <w:r>
        <w:rPr>
          <w:rFonts w:hint="eastAsia" w:ascii="仿宋_GB2312" w:hAnsi="仿宋_GB2312" w:eastAsia="仿宋_GB2312" w:cs="仿宋_GB2312"/>
          <w:b w:val="0"/>
          <w:bCs w:val="0"/>
          <w:sz w:val="32"/>
          <w:szCs w:val="32"/>
          <w:highlight w:val="none"/>
          <w:u w:val="none"/>
          <w:lang w:val="en-US" w:eastAsia="zh-Hans"/>
        </w:rPr>
        <w:t>及联系电话</w:t>
      </w:r>
      <w:r>
        <w:rPr>
          <w:rFonts w:hint="eastAsia" w:ascii="仿宋_GB2312" w:hAnsi="仿宋_GB2312" w:eastAsia="仿宋_GB2312" w:cs="仿宋_GB2312"/>
          <w:b w:val="0"/>
          <w:bCs w:val="0"/>
          <w:sz w:val="32"/>
          <w:szCs w:val="32"/>
          <w:highlight w:val="none"/>
          <w:u w:val="none"/>
          <w:lang w:val="en-US" w:eastAsia="zh-CN"/>
        </w:rPr>
        <w:t>：</w:t>
      </w:r>
      <w:r>
        <w:rPr>
          <w:rFonts w:hint="eastAsia" w:ascii="仿宋_GB2312" w:hAnsi="仿宋_GB2312" w:eastAsia="仿宋_GB2312" w:cs="仿宋_GB2312"/>
          <w:b w:val="0"/>
          <w:bCs w:val="0"/>
          <w:sz w:val="32"/>
          <w:szCs w:val="32"/>
          <w:highlight w:val="none"/>
          <w:u w:val="none"/>
          <w:lang w:val="en-US" w:eastAsia="zh-Hans"/>
        </w:rPr>
        <w:t>王珂</w:t>
      </w:r>
      <w:r>
        <w:rPr>
          <w:rFonts w:hint="eastAsia" w:ascii="仿宋_GB2312" w:hAnsi="仿宋_GB2312" w:eastAsia="仿宋_GB2312" w:cs="仿宋_GB2312"/>
          <w:b w:val="0"/>
          <w:bCs w:val="0"/>
          <w:sz w:val="32"/>
          <w:szCs w:val="32"/>
          <w:highlight w:val="none"/>
          <w:u w:val="none"/>
        </w:rPr>
        <w:t xml:space="preserve"> </w:t>
      </w:r>
      <w:r>
        <w:rPr>
          <w:rFonts w:hint="eastAsia" w:ascii="仿宋_GB2312" w:hAnsi="仿宋_GB2312" w:eastAsia="仿宋_GB2312" w:cs="仿宋_GB2312"/>
          <w:b w:val="0"/>
          <w:bCs w:val="0"/>
          <w:sz w:val="32"/>
          <w:szCs w:val="32"/>
          <w:highlight w:val="none"/>
          <w:u w:val="none"/>
          <w:lang w:val="en-US" w:eastAsia="zh-CN"/>
        </w:rPr>
        <w:t>0771-2</w:t>
      </w:r>
      <w:r>
        <w:rPr>
          <w:rFonts w:hint="default" w:ascii="仿宋_GB2312" w:hAnsi="仿宋_GB2312" w:eastAsia="仿宋_GB2312" w:cs="仿宋_GB2312"/>
          <w:b w:val="0"/>
          <w:bCs w:val="0"/>
          <w:sz w:val="32"/>
          <w:szCs w:val="32"/>
          <w:highlight w:val="none"/>
          <w:u w:val="none"/>
          <w:lang w:eastAsia="zh-CN"/>
        </w:rPr>
        <w:t>448682</w:t>
      </w:r>
      <w:r>
        <w:rPr>
          <w:rFonts w:hint="eastAsia" w:ascii="仿宋_GB2312" w:hAnsi="仿宋_GB2312" w:eastAsia="仿宋_GB2312" w:cs="仿宋_GB2312"/>
          <w:b w:val="0"/>
          <w:bCs w:val="0"/>
          <w:sz w:val="32"/>
          <w:szCs w:val="32"/>
          <w:highlight w:val="none"/>
          <w:u w:val="none"/>
        </w:rPr>
        <w:t xml:space="preserve">          </w:t>
      </w:r>
    </w:p>
    <w:p>
      <w:pPr>
        <w:pageBreakBefore w:val="0"/>
        <w:widowControl w:val="0"/>
        <w:kinsoku/>
        <w:wordWrap/>
        <w:overflowPunct/>
        <w:topLinePunct w:val="0"/>
        <w:bidi w:val="0"/>
        <w:snapToGrid/>
        <w:spacing w:line="560" w:lineRule="exact"/>
        <w:textAlignment w:val="auto"/>
        <w:rPr>
          <w:rFonts w:hint="eastAsia" w:ascii="仿宋_GB2312" w:hAnsi="仿宋_GB2312" w:eastAsia="仿宋_GB2312" w:cs="仿宋_GB2312"/>
          <w:b w:val="0"/>
          <w:bCs w:val="0"/>
          <w:sz w:val="32"/>
          <w:szCs w:val="32"/>
          <w:u w:val="none"/>
        </w:rPr>
      </w:pPr>
    </w:p>
    <w:p>
      <w:pPr>
        <w:pageBreakBefore w:val="0"/>
        <w:widowControl w:val="0"/>
        <w:kinsoku/>
        <w:wordWrap/>
        <w:overflowPunct/>
        <w:topLinePunct w:val="0"/>
        <w:bidi w:val="0"/>
        <w:snapToGrid/>
        <w:spacing w:line="560" w:lineRule="exact"/>
        <w:textAlignment w:val="auto"/>
        <w:rPr>
          <w:b w:val="0"/>
          <w:bCs w:val="0"/>
          <w:u w:val="none"/>
        </w:rPr>
      </w:pPr>
    </w:p>
    <w:sectPr>
      <w:pgSz w:w="11906" w:h="16838"/>
      <w:pgMar w:top="1701" w:right="1417" w:bottom="141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auto"/>
    <w:pitch w:val="default"/>
    <w:sig w:usb0="00000000" w:usb1="00000000" w:usb2="00000000" w:usb3="00000000" w:csb0="00060000" w:csb1="00000000"/>
  </w:font>
  <w:font w:name="仿宋_GB2312">
    <w:altName w:val="仿宋"/>
    <w:panose1 w:val="02010609030101010101"/>
    <w:charset w:val="86"/>
    <w:family w:val="modern"/>
    <w:pitch w:val="default"/>
    <w:sig w:usb0="00000000" w:usb1="00000000" w:usb2="00000000" w:usb3="00000000" w:csb0="0006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g4ZDBkNGYxYzliZGI5NTZmMWI4NTZjNzVmOTM2NmUifQ=="/>
  </w:docVars>
  <w:rsids>
    <w:rsidRoot w:val="00681A4D"/>
    <w:rsid w:val="000C53AD"/>
    <w:rsid w:val="003C5A39"/>
    <w:rsid w:val="00681A4D"/>
    <w:rsid w:val="00951E8A"/>
    <w:rsid w:val="00AB48DE"/>
    <w:rsid w:val="00C06DC6"/>
    <w:rsid w:val="00C42258"/>
    <w:rsid w:val="00CB10F8"/>
    <w:rsid w:val="051D2AD2"/>
    <w:rsid w:val="09734E97"/>
    <w:rsid w:val="0D0D779C"/>
    <w:rsid w:val="17EC241A"/>
    <w:rsid w:val="1CB1038C"/>
    <w:rsid w:val="1D227B3D"/>
    <w:rsid w:val="1D527E04"/>
    <w:rsid w:val="21055BF7"/>
    <w:rsid w:val="23C45014"/>
    <w:rsid w:val="271A2F4B"/>
    <w:rsid w:val="28795BCE"/>
    <w:rsid w:val="2A3644B8"/>
    <w:rsid w:val="2C2220D9"/>
    <w:rsid w:val="2C900E2A"/>
    <w:rsid w:val="2E953036"/>
    <w:rsid w:val="31ED3189"/>
    <w:rsid w:val="399460E1"/>
    <w:rsid w:val="3F261699"/>
    <w:rsid w:val="41526A7E"/>
    <w:rsid w:val="425061B2"/>
    <w:rsid w:val="45491CA2"/>
    <w:rsid w:val="4AAE41D2"/>
    <w:rsid w:val="4C6F77DC"/>
    <w:rsid w:val="52112AD0"/>
    <w:rsid w:val="534544E2"/>
    <w:rsid w:val="594F3C5E"/>
    <w:rsid w:val="61647454"/>
    <w:rsid w:val="64C52322"/>
    <w:rsid w:val="68395F98"/>
    <w:rsid w:val="68632343"/>
    <w:rsid w:val="73D04534"/>
    <w:rsid w:val="74A72748"/>
    <w:rsid w:val="78782AFC"/>
    <w:rsid w:val="78C0027C"/>
    <w:rsid w:val="F4BF50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12"/>
    <w:qFormat/>
    <w:uiPriority w:val="9"/>
    <w:pPr>
      <w:keepNext/>
      <w:keepLines/>
      <w:spacing w:before="340" w:after="330" w:line="578" w:lineRule="auto"/>
      <w:outlineLvl w:val="0"/>
    </w:pPr>
    <w:rPr>
      <w:b/>
      <w:bCs/>
      <w:kern w:val="44"/>
      <w:sz w:val="44"/>
      <w:szCs w:val="44"/>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uiPriority w:val="0"/>
    <w:pPr>
      <w:spacing w:before="240" w:after="60"/>
      <w:jc w:val="center"/>
      <w:outlineLvl w:val="0"/>
    </w:pPr>
    <w:rPr>
      <w:rFonts w:ascii="Arial" w:hAnsi="Arial"/>
      <w:b/>
    </w:rPr>
  </w:style>
  <w:style w:type="paragraph" w:styleId="4">
    <w:name w:val="footer"/>
    <w:basedOn w:val="1"/>
    <w:link w:val="15"/>
    <w:unhideWhenUsed/>
    <w:qFormat/>
    <w:uiPriority w:val="99"/>
    <w:pPr>
      <w:tabs>
        <w:tab w:val="center" w:pos="4153"/>
        <w:tab w:val="right" w:pos="8306"/>
      </w:tabs>
      <w:snapToGrid w:val="0"/>
      <w:jc w:val="left"/>
    </w:pPr>
    <w:rPr>
      <w:sz w:val="18"/>
      <w:szCs w:val="18"/>
    </w:rPr>
  </w:style>
  <w:style w:type="paragraph" w:styleId="5">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8">
    <w:name w:val="Table Grid"/>
    <w:basedOn w:val="7"/>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Emphasis"/>
    <w:basedOn w:val="9"/>
    <w:qFormat/>
    <w:uiPriority w:val="20"/>
    <w:rPr>
      <w:i/>
    </w:rPr>
  </w:style>
  <w:style w:type="character" w:styleId="11">
    <w:name w:val="HTML Sample"/>
    <w:basedOn w:val="9"/>
    <w:semiHidden/>
    <w:unhideWhenUsed/>
    <w:qFormat/>
    <w:uiPriority w:val="99"/>
    <w:rPr>
      <w:rFonts w:ascii="Courier New" w:hAnsi="Courier New"/>
    </w:rPr>
  </w:style>
  <w:style w:type="character" w:customStyle="1" w:styleId="12">
    <w:name w:val="标题 1 字符"/>
    <w:basedOn w:val="9"/>
    <w:link w:val="3"/>
    <w:qFormat/>
    <w:uiPriority w:val="9"/>
    <w:rPr>
      <w:rFonts w:ascii="Times New Roman" w:hAnsi="Times New Roman" w:eastAsia="宋体" w:cs="Times New Roman"/>
      <w:b/>
      <w:bCs/>
      <w:kern w:val="44"/>
      <w:sz w:val="44"/>
      <w:szCs w:val="44"/>
    </w:rPr>
  </w:style>
  <w:style w:type="paragraph" w:styleId="13">
    <w:name w:val="List Paragraph"/>
    <w:basedOn w:val="1"/>
    <w:qFormat/>
    <w:uiPriority w:val="34"/>
    <w:pPr>
      <w:ind w:firstLine="420" w:firstLineChars="200"/>
    </w:pPr>
  </w:style>
  <w:style w:type="character" w:customStyle="1" w:styleId="14">
    <w:name w:val="页眉 字符"/>
    <w:basedOn w:val="9"/>
    <w:link w:val="5"/>
    <w:qFormat/>
    <w:uiPriority w:val="99"/>
    <w:rPr>
      <w:rFonts w:ascii="Times New Roman" w:hAnsi="Times New Roman" w:eastAsia="宋体" w:cs="Times New Roman"/>
      <w:sz w:val="18"/>
      <w:szCs w:val="18"/>
    </w:rPr>
  </w:style>
  <w:style w:type="character" w:customStyle="1" w:styleId="15">
    <w:name w:val="页脚 字符"/>
    <w:basedOn w:val="9"/>
    <w:link w:val="4"/>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601</Words>
  <Characters>646</Characters>
  <Lines>3</Lines>
  <Paragraphs>1</Paragraphs>
  <TotalTime>5</TotalTime>
  <ScaleCrop>false</ScaleCrop>
  <LinksUpToDate>false</LinksUpToDate>
  <CharactersWithSpaces>665</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2020-06-19T09:06:00Z</dcterms:created>
  <dc:creator>王 春强</dc:creator>
  <cp:lastModifiedBy>暴躁的小谭</cp:lastModifiedBy>
  <cp:lastPrinted>2022-03-16T17:38:00Z</cp:lastPrinted>
  <dcterms:modified xsi:type="dcterms:W3CDTF">2023-08-23T02:07:48Z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DBC00EE778A7415CA99B44EDE0A8D903_13</vt:lpwstr>
  </property>
</Properties>
</file>