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left"/>
        <w:textAlignment w:val="auto"/>
        <w:rPr>
          <w:rFonts w:hint="eastAsia" w:ascii="黑体" w:hAnsi="黑体" w:eastAsia="黑体" w:cs="黑体"/>
          <w:b w:val="0"/>
          <w:bCs w:val="0"/>
          <w:kern w:val="2"/>
          <w:sz w:val="32"/>
          <w:szCs w:val="32"/>
          <w:u w:val="none"/>
          <w:lang w:val="en-US" w:eastAsia="zh-CN" w:bidi="ar-SA"/>
        </w:rPr>
      </w:pPr>
      <w:bookmarkStart w:id="0" w:name="_Toc28359042"/>
      <w:bookmarkStart w:id="1" w:name="_Toc35393832"/>
      <w:r>
        <w:rPr>
          <w:rFonts w:hint="eastAsia" w:ascii="黑体" w:hAnsi="黑体" w:eastAsia="黑体" w:cs="黑体"/>
          <w:b w:val="0"/>
          <w:bCs w:val="0"/>
          <w:kern w:val="2"/>
          <w:sz w:val="32"/>
          <w:szCs w:val="32"/>
          <w:u w:val="none"/>
          <w:lang w:val="en-US" w:eastAsia="zh-CN" w:bidi="ar-SA"/>
        </w:rPr>
        <w:t>附件</w:t>
      </w:r>
    </w:p>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p>
    <w:p>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lang w:val="en-US" w:eastAsia="zh-CN"/>
        </w:rPr>
      </w:pPr>
      <w:bookmarkStart w:id="2" w:name="_GoBack"/>
      <w:r>
        <w:rPr>
          <w:rFonts w:hint="eastAsia" w:ascii="方正小标宋简体" w:hAnsi="方正小标宋简体" w:eastAsia="方正小标宋简体" w:cs="方正小标宋简体"/>
          <w:b w:val="0"/>
          <w:bCs w:val="0"/>
          <w:sz w:val="44"/>
          <w:szCs w:val="44"/>
          <w:u w:val="none"/>
          <w:lang w:val="en-US" w:eastAsia="zh-CN"/>
        </w:rPr>
        <w:t>广西中医药壮瑶医药发展“十四五”规划</w:t>
      </w:r>
    </w:p>
    <w:p>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rPr>
      </w:pPr>
      <w:r>
        <w:rPr>
          <w:rFonts w:hint="eastAsia" w:ascii="方正小标宋简体" w:hAnsi="方正小标宋简体" w:eastAsia="方正小标宋简体" w:cs="方正小标宋简体"/>
          <w:b w:val="0"/>
          <w:bCs w:val="0"/>
          <w:sz w:val="44"/>
          <w:szCs w:val="44"/>
          <w:u w:val="none"/>
          <w:lang w:val="en-US" w:eastAsia="zh-Hans"/>
        </w:rPr>
        <w:t>中期评估</w:t>
      </w:r>
      <w:r>
        <w:rPr>
          <w:rFonts w:hint="eastAsia" w:ascii="方正小标宋简体" w:hAnsi="方正小标宋简体" w:eastAsia="方正小标宋简体" w:cs="方正小标宋简体"/>
          <w:b w:val="0"/>
          <w:bCs w:val="0"/>
          <w:sz w:val="44"/>
          <w:szCs w:val="44"/>
          <w:u w:val="none"/>
          <w:lang w:val="en-US" w:eastAsia="zh-CN"/>
        </w:rPr>
        <w:t>项目</w:t>
      </w:r>
      <w:r>
        <w:rPr>
          <w:rFonts w:hint="eastAsia" w:ascii="方正小标宋简体" w:hAnsi="方正小标宋简体" w:eastAsia="方正小标宋简体" w:cs="方正小标宋简体"/>
          <w:b w:val="0"/>
          <w:bCs w:val="0"/>
          <w:sz w:val="44"/>
          <w:szCs w:val="44"/>
          <w:u w:val="none"/>
        </w:rPr>
        <w:t>采购</w:t>
      </w:r>
      <w:bookmarkEnd w:id="0"/>
      <w:bookmarkEnd w:id="1"/>
      <w:r>
        <w:rPr>
          <w:rFonts w:hint="eastAsia" w:ascii="方正小标宋简体" w:hAnsi="方正小标宋简体" w:eastAsia="方正小标宋简体" w:cs="方正小标宋简体"/>
          <w:b w:val="0"/>
          <w:bCs w:val="0"/>
          <w:sz w:val="44"/>
          <w:szCs w:val="44"/>
          <w:u w:val="none"/>
        </w:rPr>
        <w:t>信息</w:t>
      </w:r>
      <w:bookmarkEnd w:id="2"/>
    </w:p>
    <w:p>
      <w:pPr>
        <w:pStyle w:val="7"/>
        <w:rPr>
          <w:rFonts w:hint="eastAsia"/>
        </w:rPr>
      </w:pPr>
    </w:p>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ind w:firstLine="560" w:firstLineChars="200"/>
        <w:jc w:val="left"/>
        <w:textAlignment w:val="auto"/>
        <w:rPr>
          <w:rFonts w:ascii="黑体" w:hAnsi="黑体" w:eastAsia="黑体"/>
          <w:b w:val="0"/>
          <w:bCs w:val="0"/>
          <w:sz w:val="28"/>
          <w:szCs w:val="28"/>
          <w:u w:val="none"/>
        </w:rPr>
      </w:pPr>
      <w:r>
        <w:rPr>
          <w:rFonts w:hint="eastAsia" w:ascii="黑体" w:hAnsi="黑体" w:eastAsia="黑体"/>
          <w:b w:val="0"/>
          <w:bCs w:val="0"/>
          <w:sz w:val="28"/>
          <w:szCs w:val="28"/>
          <w:u w:val="none"/>
        </w:rPr>
        <w:t>一、项目信息</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lang w:eastAsia="zh-CN"/>
        </w:rPr>
        <w:t>采</w:t>
      </w:r>
      <w:r>
        <w:rPr>
          <w:rFonts w:hint="eastAsia" w:ascii="仿宋_GB2312" w:hAnsi="仿宋_GB2312" w:eastAsia="仿宋_GB2312" w:cs="仿宋_GB2312"/>
          <w:b w:val="0"/>
          <w:bCs w:val="0"/>
          <w:sz w:val="32"/>
          <w:szCs w:val="32"/>
          <w:u w:val="none"/>
        </w:rPr>
        <w:t>购单位：</w:t>
      </w:r>
      <w:r>
        <w:rPr>
          <w:rFonts w:hint="eastAsia" w:ascii="仿宋_GB2312" w:hAnsi="仿宋_GB2312" w:eastAsia="仿宋_GB2312" w:cs="仿宋_GB2312"/>
          <w:b w:val="0"/>
          <w:bCs w:val="0"/>
          <w:sz w:val="32"/>
          <w:szCs w:val="32"/>
          <w:u w:val="none"/>
          <w:lang w:eastAsia="zh-CN"/>
        </w:rPr>
        <w:t>广西壮族自治区中医药管理局</w:t>
      </w:r>
      <w:r>
        <w:rPr>
          <w:rFonts w:hint="eastAsia" w:ascii="仿宋_GB2312" w:hAnsi="仿宋_GB2312" w:eastAsia="仿宋_GB2312" w:cs="仿宋_GB2312"/>
          <w:b w:val="0"/>
          <w:bCs w:val="0"/>
          <w:sz w:val="32"/>
          <w:szCs w:val="32"/>
          <w:u w:val="none"/>
        </w:rPr>
        <w:t>　</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val="zh-CN" w:eastAsia="zh-CN"/>
        </w:rPr>
      </w:pPr>
      <w:r>
        <w:rPr>
          <w:rFonts w:hint="eastAsia" w:ascii="仿宋_GB2312" w:hAnsi="仿宋_GB2312" w:eastAsia="仿宋_GB2312" w:cs="仿宋_GB2312"/>
          <w:b w:val="0"/>
          <w:bCs w:val="0"/>
          <w:sz w:val="32"/>
          <w:szCs w:val="32"/>
          <w:u w:val="none"/>
        </w:rPr>
        <w:t>项目名称：</w:t>
      </w:r>
      <w:r>
        <w:rPr>
          <w:rFonts w:hint="eastAsia" w:ascii="仿宋_GB2312" w:hAnsi="仿宋_GB2312" w:eastAsia="仿宋_GB2312" w:cs="仿宋_GB2312"/>
          <w:b w:val="0"/>
          <w:bCs w:val="0"/>
          <w:sz w:val="32"/>
          <w:szCs w:val="32"/>
          <w:u w:val="none"/>
          <w:lang w:val="en-US" w:eastAsia="zh-CN"/>
        </w:rPr>
        <w:t>广西中医药壮瑶医药发展“十四五”规划</w:t>
      </w:r>
      <w:r>
        <w:rPr>
          <w:rFonts w:hint="eastAsia" w:ascii="仿宋_GB2312" w:hAnsi="仿宋_GB2312" w:eastAsia="仿宋_GB2312" w:cs="仿宋_GB2312"/>
          <w:b w:val="0"/>
          <w:bCs w:val="0"/>
          <w:sz w:val="32"/>
          <w:szCs w:val="32"/>
          <w:u w:val="none"/>
          <w:lang w:val="en-US" w:eastAsia="zh-Hans"/>
        </w:rPr>
        <w:t>中期评估</w:t>
      </w:r>
      <w:r>
        <w:rPr>
          <w:rFonts w:hint="eastAsia" w:ascii="仿宋_GB2312" w:hAnsi="仿宋_GB2312" w:eastAsia="仿宋_GB2312" w:cs="仿宋_GB2312"/>
          <w:b w:val="0"/>
          <w:bCs w:val="0"/>
          <w:sz w:val="32"/>
          <w:szCs w:val="32"/>
          <w:u w:val="none"/>
          <w:lang w:val="en-US" w:eastAsia="zh-CN"/>
        </w:rPr>
        <w:t>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90"/>
        <w:jc w:val="left"/>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b w:val="0"/>
          <w:bCs w:val="0"/>
          <w:sz w:val="32"/>
          <w:szCs w:val="32"/>
          <w:u w:val="none"/>
        </w:rPr>
        <w:t>拟采购的货物或服务的说明：</w:t>
      </w:r>
      <w:r>
        <w:rPr>
          <w:rFonts w:hint="eastAsia" w:ascii="仿宋_GB2312" w:hAnsi="仿宋_GB2312" w:eastAsia="仿宋_GB2312" w:cs="仿宋_GB2312"/>
          <w:b w:val="0"/>
          <w:bCs w:val="0"/>
          <w:sz w:val="32"/>
          <w:szCs w:val="32"/>
          <w:u w:val="none"/>
          <w:lang w:val="en-US" w:eastAsia="zh-Hans"/>
        </w:rPr>
        <w:t>根据</w:t>
      </w:r>
      <w:r>
        <w:rPr>
          <w:rFonts w:hint="eastAsia" w:ascii="仿宋_GB2312" w:hAnsi="仿宋_GB2312" w:eastAsia="仿宋_GB2312" w:cs="仿宋_GB2312"/>
          <w:sz w:val="32"/>
          <w:szCs w:val="32"/>
        </w:rPr>
        <w:t>工作要求，制定中期评估工作方案，包括评估原则、评估重点、评估方法和评估安排等。采用科学合理的评估理论与方法，评估国家《“十四五”中医药发展规划》主要15项指标完成情况和十个主要任务实施进展情况，以及《广西中医药壮瑶医药发展“十四五”规划》主要25项指标完成情况和七个方面重大战略任务实施进展情况以及预期展望，分析“十四五”以来国家和自治区中医药规划实施过程中的</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"http://www.baidu.com/link?url=2U1DRXlyRLyE5L2vAVPHqsL-UQC8CdbE6I2xLWHncMdDNMzIfPhJ3CE1xNWm43R-9or4BzlRX_FjORmyCJkjla" \t "https://www.baidu.com/_blank"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工作亮点、经验做法、取得的成效及存在问题、难点</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，并提出针对性改进措施，最终形成《自评估材料》及《专项规划中期评估报告》。</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拟采购</w:t>
      </w:r>
      <w:r>
        <w:rPr>
          <w:rFonts w:hint="eastAsia" w:ascii="仿宋_GB2312" w:hAnsi="仿宋_GB2312" w:eastAsia="仿宋_GB2312" w:cs="仿宋_GB2312"/>
          <w:b w:val="0"/>
          <w:bCs w:val="0"/>
          <w:sz w:val="32"/>
          <w:szCs w:val="32"/>
          <w:u w:val="none"/>
          <w:lang w:eastAsia="zh-CN"/>
        </w:rPr>
        <w:t>的</w:t>
      </w:r>
      <w:r>
        <w:rPr>
          <w:rFonts w:hint="eastAsia" w:ascii="仿宋_GB2312" w:hAnsi="仿宋_GB2312" w:eastAsia="仿宋_GB2312" w:cs="仿宋_GB2312"/>
          <w:b w:val="0"/>
          <w:bCs w:val="0"/>
          <w:sz w:val="32"/>
          <w:szCs w:val="32"/>
          <w:u w:val="none"/>
        </w:rPr>
        <w:t>服务预算金额(元)：</w:t>
      </w:r>
      <w:r>
        <w:rPr>
          <w:rFonts w:hint="default" w:ascii="仿宋_GB2312" w:hAnsi="仿宋_GB2312" w:eastAsia="仿宋_GB2312" w:cs="仿宋_GB2312"/>
          <w:b w:val="0"/>
          <w:bCs w:val="0"/>
          <w:sz w:val="32"/>
          <w:szCs w:val="32"/>
          <w:u w:val="none"/>
          <w:lang w:eastAsia="zh-CN"/>
        </w:rPr>
        <w:t>200000</w:t>
      </w:r>
      <w:r>
        <w:rPr>
          <w:rFonts w:hint="eastAsia" w:ascii="仿宋_GB2312" w:hAnsi="仿宋_GB2312" w:eastAsia="仿宋_GB2312" w:cs="仿宋_GB2312"/>
          <w:b w:val="0"/>
          <w:bCs w:val="0"/>
          <w:sz w:val="32"/>
          <w:szCs w:val="32"/>
          <w:u w:val="none"/>
          <w:lang w:val="en-US" w:eastAsia="zh-CN"/>
        </w:rPr>
        <w:t>.00</w:t>
      </w:r>
      <w:r>
        <w:rPr>
          <w:rFonts w:hint="eastAsia" w:ascii="仿宋_GB2312" w:hAnsi="仿宋_GB2312" w:eastAsia="仿宋_GB2312" w:cs="仿宋_GB2312"/>
          <w:b w:val="0"/>
          <w:bCs w:val="0"/>
          <w:sz w:val="32"/>
          <w:szCs w:val="32"/>
          <w:u w:val="none"/>
        </w:rPr>
        <w:t>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u w:val="none"/>
        </w:rPr>
        <w:t>采用单一来源采购方式的原因及说明：中国中医药科技发展中心（国家中医药管理局人</w:t>
      </w:r>
      <w:r>
        <w:rPr>
          <w:rFonts w:hint="eastAsia" w:ascii="仿宋_GB2312" w:hAnsi="仿宋_GB2312" w:eastAsia="仿宋_GB2312" w:cs="仿宋_GB2312"/>
          <w:b w:val="0"/>
          <w:bCs w:val="0"/>
          <w:sz w:val="32"/>
          <w:szCs w:val="32"/>
          <w:u w:val="none"/>
          <w:lang w:val="en-US" w:eastAsia="zh-Hans"/>
        </w:rPr>
        <w:t>才</w:t>
      </w:r>
      <w:r>
        <w:rPr>
          <w:rFonts w:hint="eastAsia" w:ascii="仿宋_GB2312" w:hAnsi="仿宋_GB2312" w:eastAsia="仿宋_GB2312" w:cs="仿宋_GB2312"/>
          <w:b w:val="0"/>
          <w:bCs w:val="0"/>
          <w:sz w:val="32"/>
          <w:szCs w:val="32"/>
          <w:u w:val="none"/>
        </w:rPr>
        <w:t>交流中心）</w:t>
      </w:r>
      <w:r>
        <w:rPr>
          <w:rFonts w:ascii="仿宋_GB2312" w:hAnsi="宋体" w:eastAsia="仿宋_GB2312" w:cs="仿宋_GB2312"/>
          <w:color w:val="000000"/>
          <w:kern w:val="0"/>
          <w:sz w:val="31"/>
          <w:szCs w:val="31"/>
          <w:lang w:val="en-US" w:eastAsia="zh-CN" w:bidi="ar"/>
        </w:rPr>
        <w:t>编制并完善了《中医药全</w:t>
      </w:r>
      <w:r>
        <w:rPr>
          <w:rFonts w:hint="eastAsia" w:ascii="仿宋_GB2312" w:hAnsi="宋体" w:eastAsia="仿宋_GB2312" w:cs="仿宋_GB2312"/>
          <w:color w:val="000000"/>
          <w:kern w:val="0"/>
          <w:sz w:val="31"/>
          <w:szCs w:val="31"/>
          <w:lang w:val="en-US" w:eastAsia="zh-CN" w:bidi="ar"/>
        </w:rPr>
        <w:t>国重点实验室规划建设方案》</w:t>
      </w:r>
      <w:r>
        <w:rPr>
          <w:rFonts w:hint="eastAsia" w:ascii="仿宋_GB2312" w:hAnsi="宋体" w:eastAsia="仿宋_GB2312" w:cs="仿宋_GB2312"/>
          <w:color w:val="000000"/>
          <w:kern w:val="0"/>
          <w:sz w:val="31"/>
          <w:szCs w:val="31"/>
          <w:lang w:val="en-US" w:eastAsia="zh-Hans" w:bidi="ar"/>
        </w:rPr>
        <w:t>，方案中涉及中医药关键技术装备研究、实施方案编制及重大项目推动等工作，广西中医药壮瑶医药发展”十四五“规划中期评估项目中也需要对科研项目、平台条件、产业发展、产品开发、中医药科技发展政策和战略、规划等方面做信息评估，其他科技发展中心无法提供相关的信息。该中心还</w:t>
      </w:r>
      <w:r>
        <w:rPr>
          <w:rFonts w:hint="eastAsia" w:ascii="仿宋_GB2312" w:hAnsi="宋体" w:eastAsia="仿宋_GB2312" w:cs="仿宋_GB2312"/>
          <w:color w:val="000000"/>
          <w:kern w:val="0"/>
          <w:sz w:val="31"/>
          <w:szCs w:val="31"/>
          <w:lang w:val="en-US" w:eastAsia="zh-CN" w:bidi="ar"/>
        </w:rPr>
        <w:t>组织中医药关键技术装备战略研究、实施方案编制和广东先行先试工作，推动重大项目立项</w:t>
      </w:r>
      <w:r>
        <w:rPr>
          <w:rFonts w:hint="eastAsia" w:ascii="仿宋_GB2312" w:hAnsi="宋体" w:eastAsia="仿宋_GB2312" w:cs="仿宋_GB2312"/>
          <w:color w:val="000000"/>
          <w:kern w:val="0"/>
          <w:sz w:val="31"/>
          <w:szCs w:val="31"/>
          <w:lang w:val="en-US" w:eastAsia="zh-Hans" w:bidi="ar"/>
        </w:rPr>
        <w:t>；</w:t>
      </w:r>
      <w:r>
        <w:rPr>
          <w:rFonts w:hint="eastAsia" w:ascii="仿宋_GB2312" w:hAnsi="宋体" w:eastAsia="仿宋_GB2312" w:cs="仿宋_GB2312"/>
          <w:color w:val="000000"/>
          <w:kern w:val="0"/>
          <w:sz w:val="31"/>
          <w:szCs w:val="31"/>
          <w:lang w:val="en-US" w:eastAsia="zh-CN" w:bidi="ar"/>
        </w:rPr>
        <w:t>梳理首批15个创新团队的自评报告形成阶段性建设情况分析性报告；完成岐黄学者、创新团队项目信息系统综合管理及服务平台建设主要内容与框架设计和终期考核工作</w:t>
      </w:r>
      <w:r>
        <w:rPr>
          <w:rFonts w:hint="eastAsia" w:ascii="仿宋_GB2312" w:hAnsi="宋体" w:eastAsia="仿宋_GB2312" w:cs="仿宋_GB2312"/>
          <w:color w:val="000000"/>
          <w:kern w:val="0"/>
          <w:sz w:val="31"/>
          <w:szCs w:val="31"/>
          <w:lang w:val="en-US" w:eastAsia="zh-Hans" w:bidi="ar"/>
        </w:rPr>
        <w:t>；</w:t>
      </w:r>
      <w:r>
        <w:rPr>
          <w:rFonts w:hint="eastAsia" w:ascii="仿宋_GB2312" w:hAnsi="宋体" w:eastAsia="仿宋_GB2312" w:cs="仿宋_GB2312"/>
          <w:color w:val="000000"/>
          <w:kern w:val="0"/>
          <w:sz w:val="31"/>
          <w:szCs w:val="31"/>
          <w:lang w:val="en-US" w:eastAsia="zh-CN" w:bidi="ar"/>
        </w:rPr>
        <w:t>加强中医药特色诊疗技术推广应用</w:t>
      </w:r>
      <w:r>
        <w:rPr>
          <w:rFonts w:hint="eastAsia" w:ascii="仿宋_GB2312" w:hAnsi="宋体" w:eastAsia="仿宋_GB2312" w:cs="仿宋_GB2312"/>
          <w:color w:val="000000"/>
          <w:kern w:val="0"/>
          <w:sz w:val="31"/>
          <w:szCs w:val="31"/>
          <w:lang w:val="en-US" w:eastAsia="zh-Hans" w:bidi="ar"/>
        </w:rPr>
        <w:t>；</w:t>
      </w:r>
      <w:r>
        <w:rPr>
          <w:rFonts w:hint="eastAsia" w:ascii="仿宋_GB2312" w:hAnsi="宋体" w:eastAsia="仿宋_GB2312" w:cs="仿宋_GB2312"/>
          <w:color w:val="000000"/>
          <w:kern w:val="0"/>
          <w:sz w:val="31"/>
          <w:szCs w:val="31"/>
          <w:lang w:val="en-US" w:eastAsia="zh-CN" w:bidi="ar"/>
        </w:rPr>
        <w:t>组织专家遴选适宜基层推广应用的技术，完成《中医医疗技术手册》的修订。圆满完成</w:t>
      </w:r>
      <w:r>
        <w:rPr>
          <w:rFonts w:ascii="等线" w:hAnsi="等线" w:eastAsia="等线" w:cs="等线"/>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四川省中医药临床诊疗科研体系建设</w:t>
      </w:r>
      <w:r>
        <w:rPr>
          <w:rFonts w:hint="default" w:ascii="等线" w:hAnsi="等线" w:eastAsia="等线" w:cs="等线"/>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w:t>
      </w:r>
      <w:r>
        <w:rPr>
          <w:rFonts w:hint="default" w:ascii="等线" w:hAnsi="等线" w:eastAsia="等线" w:cs="等线"/>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乌蒙山中医药发展战略规划</w:t>
      </w:r>
      <w:r>
        <w:rPr>
          <w:rFonts w:hint="default" w:ascii="等线" w:hAnsi="等线" w:eastAsia="等线" w:cs="等线"/>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w:t>
      </w:r>
      <w:r>
        <w:rPr>
          <w:rFonts w:hint="default" w:ascii="等线" w:hAnsi="等线" w:eastAsia="等线" w:cs="等线"/>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西学中人才培养及评价项目</w:t>
      </w:r>
      <w:r>
        <w:rPr>
          <w:rFonts w:hint="default" w:ascii="等线" w:hAnsi="等线" w:eastAsia="等线" w:cs="等线"/>
          <w:color w:val="000000"/>
          <w:kern w:val="0"/>
          <w:sz w:val="31"/>
          <w:szCs w:val="31"/>
          <w:lang w:val="en-US" w:eastAsia="zh-CN" w:bidi="ar"/>
        </w:rPr>
        <w:t>”</w:t>
      </w:r>
      <w:r>
        <w:rPr>
          <w:rFonts w:hint="eastAsia" w:ascii="仿宋_GB2312" w:hAnsi="宋体" w:eastAsia="仿宋_GB2312" w:cs="仿宋_GB2312"/>
          <w:color w:val="000000"/>
          <w:kern w:val="0"/>
          <w:sz w:val="31"/>
          <w:szCs w:val="31"/>
          <w:lang w:val="en-US" w:eastAsia="zh-CN" w:bidi="ar"/>
        </w:rPr>
        <w:t>3 个四川省政府购买服务项目，并顺利通过验收，制定《四川中医药临床诊疗科研工作三年（2023-2025）提质发展工程》。</w:t>
      </w:r>
      <w:r>
        <w:rPr>
          <w:rFonts w:hint="eastAsia" w:ascii="仿宋_GB2312" w:hAnsi="宋体" w:eastAsia="仿宋_GB2312" w:cs="仿宋_GB2312"/>
          <w:color w:val="000000"/>
          <w:kern w:val="0"/>
          <w:sz w:val="31"/>
          <w:szCs w:val="31"/>
          <w:lang w:val="en-US" w:eastAsia="zh-Hans" w:bidi="ar"/>
        </w:rPr>
        <w:t>该中心</w:t>
      </w:r>
      <w:r>
        <w:rPr>
          <w:rFonts w:hint="eastAsia" w:ascii="仿宋_GB2312" w:hAnsi="仿宋_GB2312" w:eastAsia="仿宋_GB2312" w:cs="仿宋_GB2312"/>
          <w:sz w:val="32"/>
          <w:szCs w:val="32"/>
        </w:rPr>
        <w:t>完全具备承接完成项目的能力</w:t>
      </w:r>
      <w:r>
        <w:rPr>
          <w:rFonts w:hint="eastAsia" w:ascii="仿宋_GB2312" w:hAnsi="仿宋_GB2312" w:eastAsia="仿宋_GB2312" w:cs="仿宋_GB2312"/>
          <w:sz w:val="32"/>
          <w:szCs w:val="32"/>
          <w:lang w:eastAsia="zh-CN"/>
        </w:rPr>
        <w:t>，且具有唯一性。</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color w:val="000000"/>
          <w:sz w:val="32"/>
          <w:szCs w:val="32"/>
          <w:lang w:eastAsia="zh-CN"/>
        </w:rPr>
        <w:t>因此，采用</w:t>
      </w:r>
      <w:r>
        <w:rPr>
          <w:rFonts w:hint="eastAsia" w:ascii="仿宋_GB2312" w:hAnsi="仿宋_GB2312" w:eastAsia="仿宋_GB2312" w:cs="仿宋_GB2312"/>
          <w:color w:val="000000"/>
          <w:sz w:val="32"/>
          <w:szCs w:val="32"/>
        </w:rPr>
        <w:t>单一来源采购方式</w:t>
      </w:r>
      <w:r>
        <w:rPr>
          <w:rFonts w:hint="eastAsia" w:ascii="仿宋_GB2312" w:hAnsi="仿宋_GB2312" w:eastAsia="仿宋_GB2312" w:cs="仿宋_GB2312"/>
          <w:color w:val="000000"/>
          <w:sz w:val="32"/>
          <w:szCs w:val="32"/>
          <w:lang w:eastAsia="zh-CN"/>
        </w:rPr>
        <w:t>采购</w:t>
      </w:r>
      <w:r>
        <w:rPr>
          <w:rFonts w:hint="eastAsia" w:ascii="仿宋_GB2312" w:hAnsi="仿宋_GB2312" w:eastAsia="仿宋_GB2312" w:cs="仿宋_GB2312"/>
          <w:b w:val="0"/>
          <w:bCs w:val="0"/>
          <w:sz w:val="32"/>
          <w:szCs w:val="32"/>
          <w:u w:val="none"/>
          <w:lang w:val="en-US" w:eastAsia="zh-CN"/>
        </w:rPr>
        <w:t>广西中医药壮瑶医药发展“十四五”规划</w:t>
      </w:r>
      <w:r>
        <w:rPr>
          <w:rFonts w:hint="eastAsia" w:ascii="仿宋_GB2312" w:hAnsi="仿宋_GB2312" w:eastAsia="仿宋_GB2312" w:cs="仿宋_GB2312"/>
          <w:b w:val="0"/>
          <w:bCs w:val="0"/>
          <w:sz w:val="32"/>
          <w:szCs w:val="32"/>
          <w:u w:val="none"/>
          <w:lang w:val="en-US" w:eastAsia="zh-Hans"/>
        </w:rPr>
        <w:t>中期评估</w:t>
      </w:r>
      <w:r>
        <w:rPr>
          <w:rFonts w:hint="eastAsia" w:ascii="仿宋_GB2312" w:hAnsi="仿宋_GB2312" w:eastAsia="仿宋_GB2312" w:cs="仿宋_GB2312"/>
          <w:b w:val="0"/>
          <w:bCs w:val="0"/>
          <w:sz w:val="32"/>
          <w:szCs w:val="32"/>
          <w:u w:val="none"/>
          <w:lang w:val="en-US" w:eastAsia="zh-CN"/>
        </w:rPr>
        <w:t>项目</w:t>
      </w:r>
      <w:r>
        <w:rPr>
          <w:rFonts w:hint="eastAsia" w:ascii="仿宋_GB2312" w:hAnsi="仿宋_GB2312" w:eastAsia="仿宋_GB2312" w:cs="仿宋_GB2312"/>
          <w:color w:val="000000"/>
          <w:sz w:val="32"/>
          <w:szCs w:val="32"/>
          <w:lang w:eastAsia="zh-CN"/>
        </w:rPr>
        <w:t>，并委托中国中医药科技发展中心（国家中医药管理局人才交流中心）</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color w:val="000000"/>
          <w:sz w:val="32"/>
          <w:szCs w:val="32"/>
        </w:rPr>
        <w:t>承接</w:t>
      </w:r>
      <w:r>
        <w:rPr>
          <w:rFonts w:hint="eastAsia" w:ascii="仿宋_GB2312" w:hAnsi="仿宋_GB2312" w:eastAsia="仿宋_GB2312" w:cs="仿宋_GB2312"/>
          <w:color w:val="000000"/>
          <w:sz w:val="32"/>
          <w:szCs w:val="32"/>
          <w:lang w:eastAsia="zh-CN"/>
        </w:rPr>
        <w:t>单位</w:t>
      </w:r>
      <w:r>
        <w:rPr>
          <w:rFonts w:hint="eastAsia" w:ascii="仿宋_GB2312" w:hAnsi="仿宋_GB2312" w:eastAsia="仿宋_GB2312" w:cs="仿宋_GB2312"/>
          <w:color w:val="000000"/>
          <w:sz w:val="32"/>
          <w:szCs w:val="32"/>
        </w:rPr>
        <w:t>，是可行的</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必要的</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sz w:val="32"/>
          <w:szCs w:val="32"/>
          <w:lang w:val="en-US" w:eastAsia="zh-CN"/>
        </w:rPr>
        <w:t>采购符合《中华人民共和国政府采购法》，符合《广西壮族自治区财政厅关于进一步规范政府采购单一来源采购方式管理的通知》（桂财规〔2021〕4号）中的第一种情形要求。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lang w:eastAsia="zh-CN"/>
        </w:rPr>
        <w:t>二、</w:t>
      </w:r>
      <w:r>
        <w:rPr>
          <w:rFonts w:hint="eastAsia" w:ascii="黑体" w:hAnsi="黑体" w:eastAsia="黑体"/>
          <w:b w:val="0"/>
          <w:bCs w:val="0"/>
          <w:sz w:val="28"/>
          <w:szCs w:val="28"/>
          <w:highlight w:val="none"/>
          <w:u w:val="none"/>
        </w:rPr>
        <w:t>拟定供应商信息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名称：中国中医药科技发展中心（国家中医药管理局人</w:t>
      </w:r>
      <w:r>
        <w:rPr>
          <w:rFonts w:hint="eastAsia" w:ascii="仿宋_GB2312" w:hAnsi="仿宋_GB2312" w:eastAsia="仿宋_GB2312" w:cs="仿宋_GB2312"/>
          <w:b w:val="0"/>
          <w:bCs w:val="0"/>
          <w:sz w:val="32"/>
          <w:szCs w:val="32"/>
          <w:u w:val="none"/>
          <w:lang w:val="en-US" w:eastAsia="zh-Hans"/>
        </w:rPr>
        <w:t>才</w:t>
      </w:r>
      <w:r>
        <w:rPr>
          <w:rFonts w:hint="eastAsia" w:ascii="仿宋_GB2312" w:hAnsi="仿宋_GB2312" w:eastAsia="仿宋_GB2312" w:cs="仿宋_GB2312"/>
          <w:b w:val="0"/>
          <w:bCs w:val="0"/>
          <w:sz w:val="32"/>
          <w:szCs w:val="32"/>
          <w:u w:val="none"/>
        </w:rPr>
        <w:t>交流中心）</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bCs w:val="0"/>
          <w:sz w:val="32"/>
          <w:szCs w:val="32"/>
          <w:highlight w:val="none"/>
          <w:u w:val="none"/>
        </w:rPr>
        <w:t>地址</w:t>
      </w:r>
      <w:r>
        <w:rPr>
          <w:rFonts w:hint="eastAsia" w:ascii="仿宋_GB2312" w:hAnsi="仿宋_GB2312" w:eastAsia="仿宋_GB2312" w:cs="仿宋_GB2312"/>
          <w:b w:val="0"/>
          <w:bCs w:val="0"/>
          <w:sz w:val="32"/>
          <w:szCs w:val="32"/>
          <w:highlight w:val="none"/>
          <w:u w:val="none"/>
          <w:lang w:eastAsia="zh-CN"/>
        </w:rPr>
        <w:t>：</w:t>
      </w:r>
      <w:r>
        <w:rPr>
          <w:rFonts w:hint="eastAsia" w:ascii="仿宋_GB2312" w:hAnsi="仿宋_GB2312" w:eastAsia="仿宋_GB2312" w:cs="仿宋_GB2312"/>
          <w:bCs/>
          <w:sz w:val="32"/>
          <w:szCs w:val="32"/>
        </w:rPr>
        <w:t>北京市朝阳区幸福一村55号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b w:val="0"/>
          <w:bCs w:val="0"/>
          <w:sz w:val="32"/>
          <w:szCs w:val="32"/>
          <w:highlight w:val="none"/>
          <w:u w:val="none"/>
          <w:lang w:eastAsia="zh-CN"/>
        </w:rPr>
      </w:pPr>
      <w:r>
        <w:rPr>
          <w:rFonts w:hint="eastAsia" w:ascii="仿宋_GB2312" w:hAnsi="仿宋_GB2312" w:eastAsia="仿宋_GB2312" w:cs="仿宋_GB2312"/>
          <w:b w:val="0"/>
          <w:bCs w:val="0"/>
          <w:sz w:val="32"/>
          <w:szCs w:val="32"/>
          <w:highlight w:val="none"/>
          <w:u w:val="none"/>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Cs/>
          <w:sz w:val="32"/>
          <w:szCs w:val="32"/>
        </w:rPr>
        <w:t>杨燕010-64175383</w:t>
      </w:r>
    </w:p>
    <w:p>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lang w:val="en-US" w:eastAsia="zh-CN"/>
        </w:rPr>
      </w:pPr>
      <w:r>
        <w:rPr>
          <w:rFonts w:hint="eastAsia" w:ascii="黑体" w:hAnsi="黑体" w:eastAsia="黑体"/>
          <w:b w:val="0"/>
          <w:bCs w:val="0"/>
          <w:sz w:val="28"/>
          <w:szCs w:val="28"/>
          <w:highlight w:val="none"/>
          <w:u w:val="none"/>
        </w:rPr>
        <w:t>三、</w:t>
      </w:r>
      <w:r>
        <w:rPr>
          <w:rFonts w:ascii="黑体" w:hAnsi="黑体" w:eastAsia="黑体"/>
          <w:b w:val="0"/>
          <w:bCs w:val="0"/>
          <w:sz w:val="28"/>
          <w:szCs w:val="28"/>
          <w:highlight w:val="none"/>
          <w:u w:val="none"/>
        </w:rPr>
        <w:t>其他</w:t>
      </w:r>
      <w:r>
        <w:rPr>
          <w:rFonts w:hint="eastAsia" w:ascii="黑体" w:hAnsi="黑体" w:eastAsia="黑体"/>
          <w:b w:val="0"/>
          <w:bCs w:val="0"/>
          <w:sz w:val="28"/>
          <w:szCs w:val="28"/>
          <w:highlight w:val="none"/>
          <w:u w:val="none"/>
        </w:rPr>
        <w:t>补充事宜：</w:t>
      </w:r>
      <w:r>
        <w:rPr>
          <w:rFonts w:hint="eastAsia" w:ascii="仿宋_GB2312" w:hAnsi="仿宋_GB2312" w:eastAsia="仿宋_GB2312" w:cs="仿宋_GB2312"/>
          <w:b w:val="0"/>
          <w:bCs w:val="0"/>
          <w:sz w:val="32"/>
          <w:szCs w:val="32"/>
          <w:highlight w:val="none"/>
          <w:u w:val="none"/>
          <w:lang w:eastAsia="zh-CN"/>
        </w:rPr>
        <w:t>无</w:t>
      </w:r>
    </w:p>
    <w:p>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rPr>
        <w:t>四</w:t>
      </w:r>
      <w:r>
        <w:rPr>
          <w:rFonts w:ascii="黑体" w:hAnsi="黑体" w:eastAsia="黑体"/>
          <w:b w:val="0"/>
          <w:bCs w:val="0"/>
          <w:sz w:val="28"/>
          <w:szCs w:val="28"/>
          <w:highlight w:val="none"/>
          <w:u w:val="none"/>
        </w:rPr>
        <w:t>、</w:t>
      </w:r>
      <w:r>
        <w:rPr>
          <w:rFonts w:hint="eastAsia" w:ascii="黑体" w:hAnsi="黑体" w:eastAsia="黑体"/>
          <w:b w:val="0"/>
          <w:bCs w:val="0"/>
          <w:sz w:val="28"/>
          <w:szCs w:val="28"/>
          <w:highlight w:val="none"/>
          <w:u w:val="none"/>
          <w:lang w:eastAsia="zh-CN"/>
        </w:rPr>
        <w:t>采购方</w:t>
      </w:r>
      <w:r>
        <w:rPr>
          <w:rFonts w:hint="eastAsia" w:ascii="黑体" w:hAnsi="黑体" w:eastAsia="黑体"/>
          <w:b w:val="0"/>
          <w:bCs w:val="0"/>
          <w:sz w:val="28"/>
          <w:szCs w:val="28"/>
          <w:highlight w:val="none"/>
          <w:u w:val="none"/>
        </w:rPr>
        <w:t>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pacing w:val="-6"/>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p>
    <w:p>
      <w:pPr>
        <w:keepNext w:val="0"/>
        <w:keepLines w:val="0"/>
        <w:pageBreakBefore w:val="0"/>
        <w:widowControl w:val="0"/>
        <w:kinsoku/>
        <w:wordWrap/>
        <w:overflowPunct/>
        <w:topLinePunct w:val="0"/>
        <w:autoSpaceDE/>
        <w:autoSpaceDN/>
        <w:bidi w:val="0"/>
        <w:adjustRightInd/>
        <w:snapToGrid/>
        <w:spacing w:line="560" w:lineRule="exact"/>
        <w:ind w:firstLine="2156" w:firstLineChars="700"/>
        <w:textAlignment w:val="auto"/>
      </w:pPr>
      <w:r>
        <w:rPr>
          <w:rFonts w:hint="eastAsia" w:ascii="仿宋_GB2312" w:hAnsi="仿宋_GB2312" w:eastAsia="仿宋_GB2312" w:cs="仿宋_GB2312"/>
          <w:b w:val="0"/>
          <w:bCs w:val="0"/>
          <w:spacing w:val="-6"/>
          <w:sz w:val="32"/>
          <w:szCs w:val="32"/>
          <w:highlight w:val="none"/>
          <w:u w:val="none"/>
          <w:lang w:eastAsia="zh-CN"/>
        </w:rPr>
        <w:t>自治区中医药局</w:t>
      </w:r>
      <w:r>
        <w:rPr>
          <w:rFonts w:hint="eastAsia" w:ascii="仿宋_GB2312" w:hAnsi="仿宋_GB2312" w:eastAsia="仿宋_GB2312" w:cs="仿宋_GB2312"/>
          <w:b w:val="0"/>
          <w:bCs w:val="0"/>
          <w:spacing w:val="-6"/>
          <w:sz w:val="32"/>
          <w:szCs w:val="32"/>
          <w:highlight w:val="none"/>
          <w:u w:val="none"/>
          <w:lang w:val="en-US" w:eastAsia="zh-Hans"/>
        </w:rPr>
        <w:t>规划产业</w:t>
      </w:r>
      <w:r>
        <w:rPr>
          <w:rFonts w:hint="eastAsia" w:ascii="仿宋_GB2312" w:hAnsi="仿宋_GB2312" w:eastAsia="仿宋_GB2312" w:cs="仿宋_GB2312"/>
          <w:b w:val="0"/>
          <w:bCs w:val="0"/>
          <w:spacing w:val="-6"/>
          <w:sz w:val="32"/>
          <w:szCs w:val="32"/>
          <w:highlight w:val="none"/>
          <w:u w:val="none"/>
          <w:lang w:eastAsia="zh-CN"/>
        </w:rPr>
        <w:t>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 w:val="0"/>
          <w:bCs w:val="0"/>
          <w:sz w:val="32"/>
          <w:szCs w:val="32"/>
          <w:highlight w:val="none"/>
          <w:u w:val="none"/>
          <w:lang w:val="en-US" w:eastAsia="zh-CN"/>
        </w:rPr>
        <w:t>：</w:t>
      </w:r>
      <w:r>
        <w:rPr>
          <w:rFonts w:hint="eastAsia" w:ascii="仿宋_GB2312" w:hAnsi="仿宋_GB2312" w:eastAsia="仿宋_GB2312" w:cs="仿宋_GB2312"/>
          <w:b w:val="0"/>
          <w:bCs w:val="0"/>
          <w:sz w:val="32"/>
          <w:szCs w:val="32"/>
          <w:highlight w:val="none"/>
          <w:u w:val="none"/>
          <w:lang w:val="en-US" w:eastAsia="zh-Hans"/>
        </w:rPr>
        <w:t>王珂</w:t>
      </w:r>
      <w:r>
        <w:rPr>
          <w:rFonts w:hint="eastAsia" w:ascii="仿宋_GB2312" w:hAnsi="仿宋_GB2312" w:eastAsia="仿宋_GB2312" w:cs="仿宋_GB2312"/>
          <w:b w:val="0"/>
          <w:bCs w:val="0"/>
          <w:sz w:val="32"/>
          <w:szCs w:val="32"/>
          <w:highlight w:val="none"/>
          <w:u w:val="none"/>
        </w:rPr>
        <w:t xml:space="preserve"> </w:t>
      </w:r>
      <w:r>
        <w:rPr>
          <w:rFonts w:hint="eastAsia" w:ascii="仿宋_GB2312" w:hAnsi="仿宋_GB2312" w:eastAsia="仿宋_GB2312" w:cs="仿宋_GB2312"/>
          <w:b w:val="0"/>
          <w:bCs w:val="0"/>
          <w:sz w:val="32"/>
          <w:szCs w:val="32"/>
          <w:highlight w:val="none"/>
          <w:u w:val="none"/>
          <w:lang w:val="en-US" w:eastAsia="zh-CN"/>
        </w:rPr>
        <w:t>0771-2</w:t>
      </w:r>
      <w:r>
        <w:rPr>
          <w:rFonts w:hint="default" w:ascii="仿宋_GB2312" w:hAnsi="仿宋_GB2312" w:eastAsia="仿宋_GB2312" w:cs="仿宋_GB2312"/>
          <w:b w:val="0"/>
          <w:bCs w:val="0"/>
          <w:sz w:val="32"/>
          <w:szCs w:val="32"/>
          <w:highlight w:val="none"/>
          <w:u w:val="none"/>
          <w:lang w:eastAsia="zh-CN"/>
        </w:rPr>
        <w:t>448682</w:t>
      </w:r>
      <w:r>
        <w:rPr>
          <w:rFonts w:hint="eastAsia" w:ascii="仿宋_GB2312" w:hAnsi="仿宋_GB2312" w:eastAsia="仿宋_GB2312" w:cs="仿宋_GB2312"/>
          <w:b w:val="0"/>
          <w:bCs w:val="0"/>
          <w:sz w:val="32"/>
          <w:szCs w:val="32"/>
          <w:highlight w:val="none"/>
          <w:u w:val="none"/>
        </w:rPr>
        <w:t xml:space="preserve">          </w:t>
      </w:r>
    </w:p>
    <w:p>
      <w:pPr>
        <w:pageBreakBefore w:val="0"/>
        <w:widowControl w:val="0"/>
        <w:kinsoku/>
        <w:wordWrap/>
        <w:overflowPunct/>
        <w:topLinePunct w:val="0"/>
        <w:bidi w:val="0"/>
        <w:snapToGrid/>
        <w:spacing w:line="560" w:lineRule="exact"/>
        <w:textAlignment w:val="auto"/>
        <w:rPr>
          <w:rFonts w:hint="eastAsia" w:ascii="仿宋_GB2312" w:hAnsi="仿宋_GB2312" w:eastAsia="仿宋_GB2312" w:cs="仿宋_GB2312"/>
          <w:b w:val="0"/>
          <w:bCs w:val="0"/>
          <w:sz w:val="32"/>
          <w:szCs w:val="32"/>
          <w:u w:val="none"/>
        </w:rPr>
      </w:pPr>
    </w:p>
    <w:p>
      <w:pPr>
        <w:pageBreakBefore w:val="0"/>
        <w:widowControl w:val="0"/>
        <w:kinsoku/>
        <w:wordWrap/>
        <w:overflowPunct/>
        <w:topLinePunct w:val="0"/>
        <w:bidi w:val="0"/>
        <w:snapToGrid/>
        <w:spacing w:line="560" w:lineRule="exact"/>
        <w:textAlignment w:val="auto"/>
        <w:rPr>
          <w:b w:val="0"/>
          <w:bCs w:val="0"/>
          <w:u w:val="none"/>
        </w:rPr>
      </w:pPr>
    </w:p>
    <w:sectPr>
      <w:pgSz w:w="11906" w:h="16838"/>
      <w:pgMar w:top="1701" w:right="1417" w:bottom="1701" w:left="141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方正小标宋简体">
    <w:altName w:val="黑体"/>
    <w:panose1 w:val="03000509000000000000"/>
    <w:charset w:val="86"/>
    <w:family w:val="auto"/>
    <w:pitch w:val="default"/>
    <w:sig w:usb0="00000000" w:usb1="00000000" w:usb2="00000000" w:usb3="00000000" w:csb0="00060000" w:csb1="00000000"/>
  </w:font>
  <w:font w:name="仿宋_GB2312">
    <w:altName w:val="仿宋"/>
    <w:panose1 w:val="02010609030101010101"/>
    <w:charset w:val="86"/>
    <w:family w:val="modern"/>
    <w:pitch w:val="default"/>
    <w:sig w:usb0="00000000" w:usb1="00000000" w:usb2="00000000" w:usb3="00000000" w:csb0="0006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4ZDBkNGYxYzliZGI5NTZmMWI4NTZjNzVmOTM2NmUifQ=="/>
  </w:docVars>
  <w:rsids>
    <w:rsidRoot w:val="00681A4D"/>
    <w:rsid w:val="000C53AD"/>
    <w:rsid w:val="003C5A39"/>
    <w:rsid w:val="00681A4D"/>
    <w:rsid w:val="00951E8A"/>
    <w:rsid w:val="00AB48DE"/>
    <w:rsid w:val="00C06DC6"/>
    <w:rsid w:val="00C42258"/>
    <w:rsid w:val="00CB10F8"/>
    <w:rsid w:val="051D2AD2"/>
    <w:rsid w:val="09734E97"/>
    <w:rsid w:val="0D0D779C"/>
    <w:rsid w:val="166F15E0"/>
    <w:rsid w:val="17EC241A"/>
    <w:rsid w:val="1CB1038C"/>
    <w:rsid w:val="1D227B3D"/>
    <w:rsid w:val="1D527E04"/>
    <w:rsid w:val="21055BF7"/>
    <w:rsid w:val="23C45014"/>
    <w:rsid w:val="271A2F4B"/>
    <w:rsid w:val="28795BCE"/>
    <w:rsid w:val="2A3644B8"/>
    <w:rsid w:val="2C2220D9"/>
    <w:rsid w:val="2C900E2A"/>
    <w:rsid w:val="2E953036"/>
    <w:rsid w:val="31ED3189"/>
    <w:rsid w:val="399460E1"/>
    <w:rsid w:val="3F261699"/>
    <w:rsid w:val="41526A7E"/>
    <w:rsid w:val="425061B2"/>
    <w:rsid w:val="45491CA2"/>
    <w:rsid w:val="4AAE41D2"/>
    <w:rsid w:val="4C6F77DC"/>
    <w:rsid w:val="52112AD0"/>
    <w:rsid w:val="534544E2"/>
    <w:rsid w:val="594F3C5E"/>
    <w:rsid w:val="61647454"/>
    <w:rsid w:val="64C52322"/>
    <w:rsid w:val="67FBF567"/>
    <w:rsid w:val="68395F98"/>
    <w:rsid w:val="73D04534"/>
    <w:rsid w:val="74A72748"/>
    <w:rsid w:val="78782AFC"/>
    <w:rsid w:val="78C0027C"/>
    <w:rsid w:val="BE07324A"/>
    <w:rsid w:val="F4BF50C5"/>
    <w:rsid w:val="F7F4EE52"/>
    <w:rsid w:val="FAFFA197"/>
    <w:rsid w:val="FFEC1755"/>
    <w:rsid w:val="FFF0205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semiHidden="0"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13"/>
    <w:qFormat/>
    <w:uiPriority w:val="9"/>
    <w:pPr>
      <w:keepNext/>
      <w:keepLines/>
      <w:spacing w:before="340" w:after="330" w:line="578" w:lineRule="auto"/>
      <w:outlineLvl w:val="0"/>
    </w:pPr>
    <w:rPr>
      <w:b/>
      <w:bCs/>
      <w:kern w:val="44"/>
      <w:sz w:val="44"/>
      <w:szCs w:val="44"/>
    </w:rPr>
  </w:style>
  <w:style w:type="character" w:default="1" w:styleId="10">
    <w:name w:val="Default Paragraph Font"/>
    <w:unhideWhenUsed/>
    <w:qFormat/>
    <w:uiPriority w:val="1"/>
  </w:style>
  <w:style w:type="table" w:default="1" w:styleId="8">
    <w:name w:val="Normal Table"/>
    <w:unhideWhenUsed/>
    <w:qFormat/>
    <w:uiPriority w:val="99"/>
    <w:tblPr>
      <w:tblStyle w:val="8"/>
      <w:tblCellMar>
        <w:top w:w="0" w:type="dxa"/>
        <w:left w:w="108" w:type="dxa"/>
        <w:bottom w:w="0" w:type="dxa"/>
        <w:right w:w="108" w:type="dxa"/>
      </w:tblCellMar>
    </w:tblPr>
  </w:style>
  <w:style w:type="paragraph" w:styleId="2">
    <w:name w:val="Body Text"/>
    <w:basedOn w:val="1"/>
    <w:next w:val="1"/>
    <w:qFormat/>
    <w:uiPriority w:val="99"/>
    <w:pPr>
      <w:spacing w:after="120"/>
    </w:p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paragraph" w:styleId="7">
    <w:name w:val="Title"/>
    <w:basedOn w:val="1"/>
    <w:next w:val="1"/>
    <w:qFormat/>
    <w:uiPriority w:val="0"/>
    <w:pPr>
      <w:spacing w:before="240" w:after="60"/>
      <w:jc w:val="center"/>
      <w:outlineLvl w:val="0"/>
    </w:pPr>
    <w:rPr>
      <w:rFonts w:ascii="Arial" w:hAnsi="Arial"/>
      <w:b/>
    </w:rPr>
  </w:style>
  <w:style w:type="table" w:styleId="9">
    <w:name w:val="Table Grid"/>
    <w:basedOn w:val="8"/>
    <w:qFormat/>
    <w:uiPriority w:val="0"/>
    <w:rPr>
      <w:kern w:val="0"/>
      <w:sz w:val="20"/>
      <w:szCs w:val="20"/>
    </w:rPr>
    <w:tblPr>
      <w:tblStyle w:val="8"/>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Emphasis"/>
    <w:basedOn w:val="10"/>
    <w:qFormat/>
    <w:uiPriority w:val="20"/>
    <w:rPr>
      <w:i/>
    </w:rPr>
  </w:style>
  <w:style w:type="character" w:styleId="12">
    <w:name w:val="HTML Sample"/>
    <w:basedOn w:val="10"/>
    <w:unhideWhenUsed/>
    <w:qFormat/>
    <w:uiPriority w:val="99"/>
    <w:rPr>
      <w:rFonts w:ascii="Courier New" w:hAnsi="Courier New"/>
    </w:rPr>
  </w:style>
  <w:style w:type="character" w:customStyle="1" w:styleId="13">
    <w:name w:val="标题 1 字符"/>
    <w:basedOn w:val="10"/>
    <w:link w:val="3"/>
    <w:qFormat/>
    <w:uiPriority w:val="9"/>
    <w:rPr>
      <w:rFonts w:ascii="Times New Roman" w:hAnsi="Times New Roman" w:eastAsia="宋体" w:cs="Times New Roman"/>
      <w:b/>
      <w:bCs/>
      <w:kern w:val="44"/>
      <w:sz w:val="44"/>
      <w:szCs w:val="44"/>
    </w:rPr>
  </w:style>
  <w:style w:type="character" w:customStyle="1" w:styleId="14">
    <w:name w:val="页脚 字符"/>
    <w:basedOn w:val="10"/>
    <w:link w:val="4"/>
    <w:qFormat/>
    <w:uiPriority w:val="99"/>
    <w:rPr>
      <w:rFonts w:ascii="Times New Roman" w:hAnsi="Times New Roman" w:eastAsia="宋体" w:cs="Times New Roman"/>
      <w:sz w:val="18"/>
      <w:szCs w:val="18"/>
    </w:rPr>
  </w:style>
  <w:style w:type="character" w:customStyle="1" w:styleId="15">
    <w:name w:val="页眉 字符"/>
    <w:basedOn w:val="10"/>
    <w:link w:val="5"/>
    <w:qFormat/>
    <w:uiPriority w:val="99"/>
    <w:rPr>
      <w:rFonts w:ascii="Times New Roman" w:hAnsi="Times New Roman" w:eastAsia="宋体" w:cs="Times New Roman"/>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601</Words>
  <Characters>646</Characters>
  <Lines>3</Lines>
  <Paragraphs>1</Paragraphs>
  <TotalTime>8.33333333333333</TotalTime>
  <ScaleCrop>false</ScaleCrop>
  <LinksUpToDate>false</LinksUpToDate>
  <CharactersWithSpaces>665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2020-06-20T01:06:00Z</dcterms:created>
  <dc:creator>王 春强</dc:creator>
  <cp:lastModifiedBy>暴躁的小谭</cp:lastModifiedBy>
  <cp:lastPrinted>2022-03-17T09:38:00Z</cp:lastPrinted>
  <dcterms:modified xsi:type="dcterms:W3CDTF">2023-08-23T02:05:54Z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244265EFE65B4757BCB6144B03AB9B4A_13</vt:lpwstr>
  </property>
</Properties>
</file>