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方正小标宋简体" w:eastAsia="方正小标宋简体" w:cs="方正小标宋简体"/>
          <w:sz w:val="32"/>
          <w:szCs w:val="32"/>
        </w:rPr>
      </w:pPr>
      <w:r>
        <w:rPr>
          <w:rFonts w:hint="eastAsia" w:ascii="黑体" w:eastAsia="黑体"/>
          <w:sz w:val="32"/>
          <w:szCs w:val="32"/>
        </w:rPr>
        <w:t>附件</w:t>
      </w: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cs="方正小标宋简体"/>
          <w:sz w:val="44"/>
          <w:szCs w:val="44"/>
        </w:rPr>
      </w:pPr>
      <w:r>
        <w:rPr>
          <w:rFonts w:hint="eastAsia" w:ascii="方正小标宋简体" w:eastAsia="方正小标宋简体" w:cs="方正小标宋简体"/>
          <w:sz w:val="44"/>
          <w:szCs w:val="44"/>
        </w:rPr>
        <w:t>自治区中医药局202</w:t>
      </w:r>
      <w:r>
        <w:rPr>
          <w:rFonts w:hint="eastAsia" w:ascii="方正小标宋简体" w:eastAsia="方正小标宋简体" w:cs="方正小标宋简体"/>
          <w:sz w:val="44"/>
          <w:szCs w:val="44"/>
          <w:lang w:val="en-US" w:eastAsia="zh-CN"/>
        </w:rPr>
        <w:t>2</w:t>
      </w:r>
      <w:r>
        <w:rPr>
          <w:rFonts w:hint="eastAsia" w:ascii="方正小标宋简体" w:eastAsia="方正小标宋简体" w:cs="方正小标宋简体"/>
          <w:sz w:val="44"/>
          <w:szCs w:val="44"/>
        </w:rPr>
        <w:t>年度绩效考评</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eastAsia="方正小标宋简体" w:cs="方正小标宋简体"/>
          <w:sz w:val="44"/>
          <w:szCs w:val="44"/>
          <w:lang w:eastAsia="zh-CN"/>
        </w:rPr>
      </w:pPr>
      <w:r>
        <w:rPr>
          <w:rFonts w:hint="eastAsia" w:ascii="方正小标宋简体" w:eastAsia="方正小标宋简体" w:cs="方正小标宋简体"/>
          <w:sz w:val="44"/>
          <w:szCs w:val="44"/>
        </w:rPr>
        <w:t>社会评价意见建议整改工作</w:t>
      </w:r>
      <w:r>
        <w:rPr>
          <w:rFonts w:hint="eastAsia" w:ascii="方正小标宋简体" w:eastAsia="方正小标宋简体" w:cs="方正小标宋简体"/>
          <w:sz w:val="44"/>
          <w:szCs w:val="44"/>
          <w:lang w:val="en-US" w:eastAsia="zh-CN"/>
        </w:rPr>
        <w:t>方案</w:t>
      </w:r>
    </w:p>
    <w:tbl>
      <w:tblPr>
        <w:tblStyle w:val="6"/>
        <w:tblW w:w="14003" w:type="dxa"/>
        <w:tblInd w:w="0" w:type="dxa"/>
        <w:shd w:val="clear" w:color="auto" w:fill="auto"/>
        <w:tblLayout w:type="fixed"/>
        <w:tblCellMar>
          <w:top w:w="0" w:type="dxa"/>
          <w:left w:w="0" w:type="dxa"/>
          <w:bottom w:w="0" w:type="dxa"/>
          <w:right w:w="0" w:type="dxa"/>
        </w:tblCellMar>
      </w:tblPr>
      <w:tblGrid>
        <w:gridCol w:w="575"/>
        <w:gridCol w:w="1156"/>
        <w:gridCol w:w="1140"/>
        <w:gridCol w:w="1290"/>
        <w:gridCol w:w="1050"/>
        <w:gridCol w:w="4005"/>
        <w:gridCol w:w="3540"/>
        <w:gridCol w:w="1247"/>
      </w:tblGrid>
      <w:tr>
        <w:tblPrEx>
          <w:shd w:val="clear" w:color="auto" w:fill="auto"/>
          <w:tblCellMar>
            <w:top w:w="0" w:type="dxa"/>
            <w:left w:w="0" w:type="dxa"/>
            <w:bottom w:w="0" w:type="dxa"/>
            <w:right w:w="0" w:type="dxa"/>
          </w:tblCellMar>
        </w:tblPrEx>
        <w:trPr>
          <w:trHeight w:val="914"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rPr>
                <w:rFonts w:hint="eastAsia" w:ascii="黑体" w:hAnsi="黑体" w:eastAsia="黑体" w:cs="黑体"/>
                <w:b/>
                <w:i w:val="0"/>
                <w:color w:val="000000"/>
                <w:sz w:val="24"/>
                <w:szCs w:val="24"/>
                <w:u w:val="none"/>
              </w:rPr>
            </w:pPr>
            <w:r>
              <w:rPr>
                <w:rFonts w:hint="eastAsia" w:ascii="黑体" w:hAnsi="黑体" w:eastAsia="黑体" w:cs="黑体"/>
                <w:b/>
                <w:i w:val="0"/>
                <w:color w:val="000000"/>
                <w:kern w:val="0"/>
                <w:sz w:val="24"/>
                <w:szCs w:val="24"/>
                <w:u w:val="none"/>
                <w:lang w:val="en-US" w:eastAsia="zh-CN" w:bidi="ar"/>
              </w:rPr>
              <w:t>序号</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rPr>
                <w:rFonts w:hint="eastAsia" w:ascii="黑体" w:hAnsi="黑体" w:eastAsia="黑体" w:cs="黑体"/>
                <w:b/>
                <w:i w:val="0"/>
                <w:color w:val="000000"/>
                <w:sz w:val="24"/>
                <w:szCs w:val="24"/>
                <w:u w:val="none"/>
              </w:rPr>
            </w:pPr>
            <w:r>
              <w:rPr>
                <w:rFonts w:hint="eastAsia" w:ascii="黑体" w:hAnsi="黑体" w:eastAsia="黑体" w:cs="黑体"/>
                <w:b/>
                <w:i w:val="0"/>
                <w:color w:val="000000"/>
                <w:kern w:val="0"/>
                <w:sz w:val="24"/>
                <w:szCs w:val="24"/>
                <w:u w:val="none"/>
                <w:lang w:val="en-US" w:eastAsia="zh-CN" w:bidi="ar"/>
              </w:rPr>
              <w:t>主题</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rPr>
                <w:rFonts w:hint="eastAsia" w:ascii="黑体" w:hAnsi="黑体" w:eastAsia="黑体" w:cs="黑体"/>
                <w:b/>
                <w:i w:val="0"/>
                <w:color w:val="000000"/>
                <w:sz w:val="24"/>
                <w:szCs w:val="24"/>
                <w:u w:val="none"/>
              </w:rPr>
            </w:pPr>
            <w:r>
              <w:rPr>
                <w:rFonts w:hint="eastAsia" w:ascii="黑体" w:hAnsi="黑体" w:eastAsia="黑体" w:cs="黑体"/>
                <w:b/>
                <w:i w:val="0"/>
                <w:color w:val="000000"/>
                <w:kern w:val="0"/>
                <w:sz w:val="24"/>
                <w:szCs w:val="24"/>
                <w:u w:val="none"/>
                <w:lang w:val="en-US" w:eastAsia="zh-CN" w:bidi="ar"/>
              </w:rPr>
              <w:t>意见建议编号</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rPr>
                <w:rFonts w:hint="eastAsia" w:ascii="黑体" w:hAnsi="黑体" w:eastAsia="黑体" w:cs="黑体"/>
                <w:b/>
                <w:i w:val="0"/>
                <w:color w:val="000000"/>
                <w:sz w:val="24"/>
                <w:szCs w:val="24"/>
                <w:u w:val="none"/>
              </w:rPr>
            </w:pPr>
            <w:r>
              <w:rPr>
                <w:rFonts w:hint="eastAsia" w:ascii="黑体" w:hAnsi="黑体" w:eastAsia="黑体" w:cs="黑体"/>
                <w:b/>
                <w:i w:val="0"/>
                <w:color w:val="000000"/>
                <w:kern w:val="0"/>
                <w:sz w:val="24"/>
                <w:szCs w:val="24"/>
                <w:u w:val="none"/>
                <w:lang w:val="en-US" w:eastAsia="zh-CN" w:bidi="ar"/>
              </w:rPr>
              <w:t>整改内容</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rPr>
                <w:rFonts w:hint="eastAsia" w:ascii="黑体" w:hAnsi="黑体" w:eastAsia="黑体" w:cs="黑体"/>
                <w:b/>
                <w:i w:val="0"/>
                <w:color w:val="000000"/>
                <w:sz w:val="24"/>
                <w:szCs w:val="24"/>
                <w:u w:val="none"/>
              </w:rPr>
            </w:pPr>
            <w:r>
              <w:rPr>
                <w:rFonts w:hint="eastAsia" w:ascii="黑体" w:hAnsi="黑体" w:eastAsia="黑体" w:cs="黑体"/>
                <w:b/>
                <w:i w:val="0"/>
                <w:color w:val="000000"/>
                <w:kern w:val="0"/>
                <w:sz w:val="24"/>
                <w:szCs w:val="24"/>
                <w:u w:val="none"/>
                <w:lang w:val="en-US" w:eastAsia="zh-CN" w:bidi="ar"/>
              </w:rPr>
              <w:t>整改部门</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rPr>
                <w:rFonts w:hint="eastAsia" w:ascii="黑体" w:hAnsi="黑体" w:eastAsia="黑体" w:cs="黑体"/>
                <w:b/>
                <w:i w:val="0"/>
                <w:color w:val="000000"/>
                <w:sz w:val="24"/>
                <w:szCs w:val="24"/>
                <w:u w:val="none"/>
              </w:rPr>
            </w:pPr>
            <w:r>
              <w:rPr>
                <w:rFonts w:hint="eastAsia" w:ascii="黑体" w:hAnsi="黑体" w:eastAsia="黑体" w:cs="黑体"/>
                <w:b/>
                <w:i w:val="0"/>
                <w:color w:val="000000"/>
                <w:kern w:val="0"/>
                <w:sz w:val="24"/>
                <w:szCs w:val="24"/>
                <w:u w:val="none"/>
                <w:lang w:val="en-US" w:eastAsia="zh-CN" w:bidi="ar"/>
              </w:rPr>
              <w:t>整改措施</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rPr>
                <w:rFonts w:hint="eastAsia" w:ascii="黑体" w:hAnsi="黑体" w:eastAsia="黑体" w:cs="黑体"/>
                <w:b/>
                <w:i w:val="0"/>
                <w:color w:val="000000"/>
                <w:sz w:val="24"/>
                <w:szCs w:val="24"/>
                <w:u w:val="none"/>
              </w:rPr>
            </w:pPr>
            <w:r>
              <w:rPr>
                <w:rFonts w:hint="eastAsia" w:ascii="黑体" w:hAnsi="黑体" w:eastAsia="黑体" w:cs="黑体"/>
                <w:b/>
                <w:i w:val="0"/>
                <w:color w:val="000000"/>
                <w:kern w:val="0"/>
                <w:sz w:val="24"/>
                <w:szCs w:val="24"/>
                <w:u w:val="none"/>
                <w:lang w:val="en-US" w:eastAsia="zh-CN" w:bidi="ar"/>
              </w:rPr>
              <w:t>整改可检验成果</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rPr>
                <w:rFonts w:hint="eastAsia" w:ascii="黑体" w:hAnsi="黑体" w:eastAsia="黑体" w:cs="黑体"/>
                <w:b/>
                <w:i w:val="0"/>
                <w:color w:val="000000"/>
                <w:sz w:val="24"/>
                <w:szCs w:val="24"/>
                <w:u w:val="none"/>
              </w:rPr>
            </w:pPr>
            <w:r>
              <w:rPr>
                <w:rFonts w:hint="eastAsia" w:ascii="黑体" w:hAnsi="黑体" w:eastAsia="黑体" w:cs="黑体"/>
                <w:b/>
                <w:i w:val="0"/>
                <w:color w:val="000000"/>
                <w:kern w:val="0"/>
                <w:sz w:val="24"/>
                <w:szCs w:val="24"/>
                <w:u w:val="none"/>
                <w:lang w:val="en-US" w:eastAsia="zh-CN" w:bidi="ar"/>
              </w:rPr>
              <w:t>整改时限</w:t>
            </w:r>
          </w:p>
        </w:tc>
      </w:tr>
      <w:tr>
        <w:tblPrEx>
          <w:tblCellMar>
            <w:top w:w="0" w:type="dxa"/>
            <w:left w:w="0" w:type="dxa"/>
            <w:bottom w:w="0" w:type="dxa"/>
            <w:right w:w="0" w:type="dxa"/>
          </w:tblCellMar>
        </w:tblPrEx>
        <w:trPr>
          <w:trHeight w:val="6022"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0220220630700418</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国家有区、市设置机构编制人员，但县级有工作任务却无机构编制人员。建议从上至下设置机构编制，配备人员，以顺应中医药事业开展发展。</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办公室</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根据《中国共产党机构编制工作条例》《地方各级人民政府机构设置编制管理条例》等法规规定，机构编制事权在市、县（市、区）党委，地方各级党委机构编制委员会管理本地区机构编制工作，上级行政机构不得干预下级行政机构的设置和编制管理等工作。我局根据部门职责权限，开展市、县（市、区）中医药管理体系调研梳理情况并通报，主动向自治区党委编制部门汇报情况，争取在推动建立健全市县级中医药管理机构上给予指导和支持。</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指导各地积极向当地党委、政府报告，主动向党委编制部门汇报工作，推动贯彻落实中医药法、关于促进中医药壮瑶医药传承创新发展的实施意见、自治区中医药条例有关要求，建立完善中医药管理体系，合理配置人员力量，健全中医药发展统筹协调机制和工作机制。</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1.对全区各市、县（市、区）中医药管理体系建设情况进行通报1次。</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2.赴自治区党委编办进行专题汇报1次。</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3.推动部分市县中医药管理机构挂牌、配置人员力量，如百色市挂牌成立中医药局、东兰县成立县中医药发展中心等，健全中医药发展统筹协调机制和工作机制。</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2023年12月31日</w:t>
            </w:r>
          </w:p>
        </w:tc>
      </w:tr>
      <w:tr>
        <w:tblPrEx>
          <w:tblCellMar>
            <w:top w:w="0" w:type="dxa"/>
            <w:left w:w="0" w:type="dxa"/>
            <w:bottom w:w="0" w:type="dxa"/>
            <w:right w:w="0" w:type="dxa"/>
          </w:tblCellMar>
        </w:tblPrEx>
        <w:trPr>
          <w:trHeight w:val="3710"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落实整改评价</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120220630600003</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希望中医药局能够对扶绥县瑞康医院中层级别以上的领导的管理水平和作风进行洗牌和整顿，目前的管理水平还不让群众满意。</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办公室</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按照目前管理体制，扶绥县瑞康医院由广西中医药大学附属瑞康医院直接管理，瑞康医院的直接主管部门为广西中医药大学。</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1.5月底前完成群众反映扶绥县瑞康医院存在具体问题的调查工作。</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2.对调查结果进行研究分析，按照“有则改之，无则加勉”原则，6月底前将我局的整改工作建议函告广西中医药大学附属瑞康医院，同时抄送广西中医药大学。</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根据我局调查了解结果，将整改工作建议函告广西中医药大学附属瑞康医院，指导瑞康医院做好相关工作，同时建议函抄送广西中医药大学。</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4846"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3</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落实整改评价</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120220630600001</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解决民众反映问题，尽快落实房产证。</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办公室</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1.4月底前向自治区高级法院、南宁市人民政府行文申请依法加快推进广西药用植物园（下简称“药园”）商品房销售合同纠纷生效案件执行工作，追回广西红日东升投资有限公司所欠药园的购房款6000多万元。</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2.局领导率队赴自治区高级法院、南宁市人民政府汇报工作，请其协调南宁市中级人民法院加快案件执行工作，指导药园下一步如何推进办理房产证工作。</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3.督促药园主动担当，履行独立法人主体职责，学习借鉴其他单位的经验与做法，克服困难，千方百计为住户办理房产证。</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1.向自治区高级法院、南宁市人民政府分别行文申请依法加快推进广西药用植物园商品房销售合同纠纷生效案件执行工作。</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2.分别赴自治区高级法院、南宁市人民政府专题汇报沟通工作1次。</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3.在相关单位的指导下，督促广西药用植物园依法依规加快办理房产证。</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90"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4</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落实整改评价</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120220630600002</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壮医院没有及时出面解释，只是让当事彩超医生打电话来说了一下，希望能由院方出面解释或道歉会更好些。</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医政处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加强壮医医院的医患沟通能力建设，对医患沟通问题较多的区直中医医疗机构院长进行约谈，提升医院整体医患沟通能力。</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default" w:ascii="仿宋_GB2312" w:hAnsi="仿宋_GB2312" w:eastAsia="仿宋_GB2312" w:cs="仿宋_GB2312"/>
                <w:i w:val="0"/>
                <w:color w:val="000000"/>
                <w:sz w:val="24"/>
                <w:szCs w:val="24"/>
                <w:u w:val="none"/>
                <w:lang w:val="en-US"/>
              </w:rPr>
            </w:pPr>
            <w:r>
              <w:rPr>
                <w:rFonts w:hint="eastAsia" w:ascii="仿宋_GB2312" w:hAnsi="仿宋_GB2312" w:eastAsia="仿宋_GB2312" w:cs="仿宋_GB2312"/>
                <w:i w:val="0"/>
                <w:color w:val="000000"/>
                <w:kern w:val="0"/>
                <w:sz w:val="24"/>
                <w:szCs w:val="24"/>
                <w:u w:val="none"/>
                <w:lang w:val="en-US" w:eastAsia="zh-CN" w:bidi="ar"/>
              </w:rPr>
              <w:t>就医患沟通问题，责令广西国际壮医医院当事医生与患者解释沟通，并对区直各中医医院院级领导专项约谈1次。</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5831"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落实整改评价</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120220630600007</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年轻人对中医药保健养生欠缺了解，希望中医药局加大宣传力度。</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办公室</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 xml:space="preserve">1.开展广西中医药文化进基层及中医药健康文化素养知识宣教活动，加强对中医药保健养生知识的宣传力度。           </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2.开展中医药防病治病小科普、二十四节气名中医话养生等中医药文化科普视频的制作及宣传，促进中医药健康文化传播。</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组织召开广西中医药健康文化素养调查工作座谈会，印发《关于在重点监测县市开展广西中医药文化进基层及中医药健康文化素养知识宣教活动的通知》，重点采取对口帮扶机制，在12个重点监测县市开展广西中医药文化进基层及中医药健康文化素养知识宣教活动。举办2023年广西中医药文化建设及新闻宣传培训会，启动广西中医药文化进基层及中医药健康文化素养知识宣教活动，邀请专家到会指导中医药健康文化素养调查有关工作。</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2.举办一场中医药健康文化宣传活动，邀请7家单位、28名中医专家参与主题活动，通过展览展示、健康咨询（义诊）、中医药文艺表演、互动体验等丰富活动传播中医药健康文化。</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2968"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6</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落实整改评价</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120220630600008</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钦州市钦北区小董镇卫生院，希望给医院骨干多一些业务培训机会，希望财政部门对中医药设备给予150万资金支持。</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科教处</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医政处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1.开展中医全科医生转岗培训、中医馆骨干人才培训和基层卫生人才中医药知识与技能培训等，多举措加强基层中医人才队伍建设。建议小董镇卫生院相关人员积极关注，报名参加相应培训项目。</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所有资金根据项目走，我局涉及乡镇卫生院的业务只有中医馆，该乡镇卫生院已经给予资金支持20万元，全区中医馆建设标准为20万元/个。进一步指导钦州市钦北区小董镇卫生院加强中医馆内涵建设，条件成熟时争取资金对该乡镇卫生院开展旗舰中医馆建设。</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1.将钦州市钦北区小董镇卫生院列入“旗舰中医馆”建设储备项目名单。</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2.培训中医全科医生转岗100人、中医馆骨干人才350人，开展基层卫生人才中医药知识与技能培训，培训300人，合计培训750人。</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5138"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7</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落实整改评价</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120220630600006</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希望提高对中医医生的待遇。</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办公室</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1.积极争取财政部门对中医专科、中医康复能力、中医馆、中医药人才队伍建设等项目的支持，减轻中医医院、基层卫生机构的自有成本，增加医疗结余。</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2.继续配合人社等相关部门推进公立医院薪酬制度改革，提高医务人员待遇。</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3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中医专科、中医康复能力、中医馆等中医药服务体系与能力建设专项经费项目和中医药人才队伍项目2023年预算资金安排13295万元，较2022年预算资金安排10553万元增长23.98%。财政资金支持力度的增大，在一定程度上减轻了中医医院、基层卫生机构的自有成本。</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2.我局严格贯彻落实《广西壮族自治区人力资源和社会保障厅等 5 部门关于印发广西壮族自治区公立医院 薪酬制度改革实施意见的通知》的文件精神，组织全区各中医医疗机构明确按照“两个允许”要求，合理确定并动态调整公立医院薪酬水平等相关内容。在此基础上，2023年，自治区卫生健康委 自治区人力资源社会保障厅 自治区财政厅联合发布《自治区本级公立医院绩效工资动态奖励额度核定办法》的通知，推进公立医院薪酬制度改革，动态调整医务人员待遇。</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7222"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8</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落实整改评价</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120220630600009</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希望多组织基层培训和中医师知识培训，发展中医药事业。</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医政处</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科教处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开展16个“西学中”基地建设，依托西学中基地积极开展非中医类别医师学习中医药专业知识，开展14个县级中医医院“两专科一中心”建设，依托县级中医适宜技术推广中心开展中医适宜技术培训，各市委托医疗机构培训常见病、多发病适中适宜技术推广培训。</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2.开展中医全科医生转岗培训、中医馆骨干人才培训和基层卫生人才中医药知识与技能培训等，多举措加强基层中医人才队伍建设，不断提升基层中医药服务能力，传承发展中医药事业。</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1.2023年新增“西学中”学员不少于500人，新增14个县域中医药适宜技术推广中心，每个适宜技术推广中心推广常见病、多发病适中医适宜技术推广不少于6项。</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2.培训中医全科医生转岗100人、中医馆骨干人才350人，开展基层卫生人才中医药知识与技能培训，培训300人，合计培训750人。</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8421"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9</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0220220630700408</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多组织培训，多外出考察，多参加中医药展览会。</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规划产业处</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科教处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1.2月，在广西职业技术学院召开2023年全区中药壮瑶药药食同源技术规范会及推广业务培训会。</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2.开展2023年广西中医药壮瑶医药健康养生保健人才培训班，提高从业人员素质。</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3.开展2023年传统知识收集项目实施培训班。</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4.开展2023年“三个一批”示范基地现场评审工作。</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5.开展广西医疗机构中药民族药制剂能力建设培训班。</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6.筹办首届广西中医药产业交流大会，组织相关企事业单位赴区外参会参展。</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7.通过开展中医药科教管理培训班，组织全区中医药系统干部参加培训，不断提升业务能力。</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1.开展药膳人才培训班，培训不少于200人。</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2.开展中医壮瑶医康养人才培训工作，培养不少于200名康养人才。</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3.开展中医药传统知识收集整理，完成不少于100条中医药传统知识收集整理项目工作。</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4.开展第三批“三个一批”示范基地遴选工作，通过集中答辩、现场评审、厅局会审等程序，遴选并公布第三批“三个一批”示范基地名单。</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5.推进全区医疗机构中药民族药制剂注册备案工作，提交医疗机构中药民族药制剂注册或备案品种不少于12个。</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 xml:space="preserve">6.成功举办首届广西中医药产业交流大会，组织不少于50家“三个一批”示范基地参展。 </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7.举办中医药科教培训班，组织全区14个设区市卫生健康委、中医药局、中医医疗机构科技教育管理人员或业务骨干，培训学习中医药科技教育管理制度、人才培养政策及项目推进等，提升全区中医药科教业务能力。</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2424"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0220220630700409</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建议通知提前下发，培训类主动指导下级。</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科教处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1.在组织开展培训类项目过程中，均提前制定印发培训通知和方案。</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下一步将继续加强培训组织管理，提前谋划开展培训项目，同时加强调研，主动了解基层实际工作需要，针对性开展相关内容培训，并督促设区市、县级中医药主管部门加快文件流转速度，提高培训项目的组织效率。</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赴基层开展《广西基层中医药适宜技术推广应用现状》调研，了解全区各地乡镇卫生院、社区卫生服务中心、村卫生室等中医药适宜技术开展应用情况。结合我处的业务工作，将调研结果应用于中医全科医生转岗培训、中医馆骨干人才培训和基层卫生人才中医药知识与技能培训等，培训750人。</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1703"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11</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0220220630700412</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1、对制定本系统年度工作计划的工作站位、科学性、合理性、可操作性等方面不满意的事项：对基层中医药人才培训、技术推广方式没有结合乡镇农村的实际，效果不明显。</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2、对在为基层办实事、解决实际工作困难方面不满意的事项：没有解决基层中医药人才缺乏、技术推广不到位的问题，各乡镇建立的中医药局形同虚设，一两年后就破功，造成国家资源浪费。</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科教处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1.加强调研，主动了解基层中医药人员的实际工作需要，针对性开展相关内容培训。</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2.通过开展中医农村订单定向免费医学生培养、中医全科医生转岗培训、中医馆骨干人才培训和基层卫生人才中医药知识与技能培训等，多举措加强基层中医药人才队伍建设。</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赴基层开展《广西基层中医药适宜技术推广应用现状》调研,了解全区各地乡镇卫生院、社区卫生服务中心、村卫生室等中医药适宜技术开展应用情况。招收培养中医农村订单定向免费医学生培养220人，开展中医全科医生转岗培训、中医馆骨干人才培训和基层卫生人才中医药知识与技能培训等，培训750人。</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1948"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0220220630700413</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加大对基层民族医药服务能力提升，重点放在少数民族县。</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医政处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支持富川瑶族自治县民族医医院等少数民族医院开展少数民族医院综合能力建设，改善少数民族医院的基础条件，加强壮瑶医重点学科、专科建设，突出民族医药特色，提升诊疗水平和临床疗效。</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支持富川瑶族自治县民族医医院等5家少数民族医院综合能力建设，重点打造2个中医民族医特色专科，提升诊疗水平和临床疗效。</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4965"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13</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0220220630700410</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多下基层调研，解决基层实际问题和困难。</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规划产业处</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办公室</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法监处</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科教处</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医政处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1.赴河池市环江毛南族自治县、大化瑶族自治县、东兰县等地实地调研工程项目建设情况，了解项目推进存在的困难，推动项目尽快实施。</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2.赴上思、东兴等县实地调研，了解医院投入使用存在的具体困难和问题、办理医疗机构执业许可的堵点，组织地方有关部门交流座谈，针对性指导医院建设推进。</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3.组织专家开展“三个一批”示范基地现场核验工作，加强对示范基地管理，促进中医药与养生养老、旅游等产业融合，推动中药材种植、生产、使用等环节产业链全面发展。</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4.组织专家赴各地市开展2022年度现场绩效评价和专项审计工作，全面了解中央资金项目实施方案执行、项目管理监督机制建设、资金下达和执行等情况，督促资金落实到位，项目推进到位。</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5.积极参加地市组织的相关培训班，对地市相关工作开展指导、授课。</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6.进一步贯彻落实中央和自治区关于大兴调查研究的工作部署，4月底前出台《自治区中医药局大兴调查研究推动中医药壮瑶医药振兴发展实施方案》（以下简称“实施方案”）。</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7.严格对照实施方案，坚持以问题为导向，聚焦中医药服务体系、中医药科研水平、中医药人才队伍建设、中医药产业发展、中医药宣传与文化传播存在的难点问题多下基层调研，8月底前要集中解决一批调研中发现的问题，11月底前解决问题要取得明显成效。</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8.坚持定期不定期深入基层进行调研，及时掌握基层一线情况，倾听基层群众意见，解决基层群众难点问题。</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9.加强基层调研，主动了解基层中医药人员的实际工作需要，结合我处基层人才培养、培训等业务工作，解决基层实际问题和困难。</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10.开展县级中医医院服务能力基本标准和推荐标准达标情况调研，新增不少于5家县级中医医院达到基本标准或推荐标准。开展中医馆建设情况调研，指导基层做好中医适宜技术推广，提升基层中医药服务能力。</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kern w:val="0"/>
                <w:sz w:val="21"/>
                <w:szCs w:val="21"/>
                <w:u w:val="none"/>
                <w:lang w:val="en-US" w:eastAsia="zh-CN" w:bidi="ar"/>
              </w:rPr>
            </w:pPr>
            <w:r>
              <w:rPr>
                <w:rFonts w:hint="eastAsia" w:ascii="仿宋_GB2312" w:hAnsi="仿宋_GB2312" w:eastAsia="仿宋_GB2312" w:cs="仿宋_GB2312"/>
                <w:i w:val="0"/>
                <w:color w:val="000000"/>
                <w:kern w:val="0"/>
                <w:sz w:val="21"/>
                <w:szCs w:val="21"/>
                <w:u w:val="none"/>
                <w:lang w:val="en-US" w:eastAsia="zh-CN" w:bidi="ar"/>
              </w:rPr>
              <w:t>1.出台《自治区中医药局大兴调查研究推动中医药壮瑶医药振兴发展实施方案》。</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2.出台《自治区中医药壮瑶医药传承创新发展试验 区建设管理实施细则》，赴防城港市调研，指导其创建自治区中医药壮瑶医药传承创新发展试验区。</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3.举办一场中医药健康文化宣传活动，邀请7家单位、28名中医专家参与主题活动，通过展览展示、健康咨询（义诊）、中医药文艺表演、互动体验等丰富活动传播中医药健康文化。</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4.开展不少于1次对县级中医医院和中医馆建设情况调研，新增不少于5家县级中医医院达到基本标准或推荐标准，开展20个中医馆建设，提升基层中医药服务能力。</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5.指导环江县中医医院办理医疗机构执业许可证，推动其正式投入使用。指导并推动大化县中医医院加快推进工程建设，基本完成一期项目基础设施建设。</w:t>
            </w:r>
          </w:p>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6.开展第三批“三个一批”示范基地遴选工作，通过集中答辩、现场评审、厅局会审等程序，遴选并公布第三批“三个一批”示范基地名单。</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7.组织专家赴各地市开展2022年度现场绩效评价和专项审计工作，形成2022年度中央对地方转移支付中医药资金绩效自评报告。</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8.指导广西中医药研究院在桂林龙胜开展《广西壮族自治区中医药条例》普法宣传活动，增强群众用法意识。</w:t>
            </w: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9.赴基层开展《广西基层中医药适宜技术推广应用现状》调研，了解全区各地乡镇卫生院、社区卫生服务中心、村卫生室等中医药适宜技术开展应用情况。结合我处的业务工作，将调研结果应用于中医全科医生转岗培训、中医馆骨干人才培训和基层卫生人才中医药知识与技能培训等，培训750人。</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7856"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14</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0220220630700411</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希望上级政策向基层倾斜。</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办公室</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医政处</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科教处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近年自治区已出台的《关于促进中医药壮瑶医药传承创新发展的实施意见》《广西中医药壮瑶医药发展“十四五”规划》《广西中医药壮瑶医药振兴发展三年攻坚行动实施方案（2021—2023年）》《关于加快中医药壮瑶医药特色发展的若干政策措施》等4个文件从政策、项目、资金等方面都是向基层大力倾斜。</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今年出台《广西中医药壮瑶医药振兴发展重大工程实施方案》，坚持问题导向，聚焦我区中医药壮瑶医药发展面临的健康服务、中西医结合、人才支撑、产业发展、文化进步、开放合作等方面的问题进行发力，实施“中医药壮瑶医药健康服务高质量发展工程”等八大工程，促进中医药壮瑶医药振兴发展。</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3.出台《广西基层中医药服务能力提升工程“十四五”行动实施方案》，在县级、乡镇、社区等基层做了五年布局。</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4.针对基层实际问题和困难，实施中医药薪火人才培养工程。通过开展中医农村订单定向免费医学生培养、中医全科医生转岗培训、中医馆骨干人才培训和基层卫生人才中医药知识与技能培训等，加强基层中医药人才队伍建设，不断提升基层中医药服务能力。</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自治区出台《广西中医药壮瑶医药振兴发展重大工程实施方案》，实施中医药壮瑶医药健康服务高质量发展工程、中西医协同推进工程、中医药壮瑶医药传承创新和现代化工程、中医药壮瑶医药特色人才培养工程、中药壮瑶药质量提升及产业促进工程、中医药壮瑶医药文化弘扬工程、中医药壮瑶医药开放发展工程、中医药壮瑶医药传承创新发展试点工程等八大工程，促进中医药壮瑶医药振兴发展。</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2.印发《广西基层中医药服务能力提升工程“十四五”行动实施方案》，对县域、乡镇、社会基层中医药服务能力提升制定5年行动方案。</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3.招收培养中医农村订单定向免费医学生培养220人，开展中医全科医生转岗培训、中医馆骨干人才培训和基层卫生人才中医药知识与技能培训等，培训750人。</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2723"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15</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0220220630700416</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加强对基层医疗机构中医治疗工作进行指导。</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医政处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区中医药局医政处：组织城市医院对口帮扶县级中医医院、县级中医医院对口支援乡镇卫生院，以指导和提升基层中医医疗服务能力。</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组织17家城市医院对口帮扶30家县级中医医院，通过县域医共体组织45家县级中医医院对口支援78家乡镇卫生院，以提升基层中医药服务能力。</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2424"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16</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0220220630700417</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多支持基层卫生院中医馆的建设。</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医政处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区中医药局医政处：持续开展基层医疗卫生机构建设中医馆、旗舰中医馆、中医阁等项目，遴选并公布一批“旗舰中医馆”和“中医阁”作为建设储备项目。</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新增建设20个中医馆，遴选公布47个旗舰中医馆和36个中医阁作为建设储备项目。</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2023年12月31日</w:t>
            </w:r>
          </w:p>
        </w:tc>
      </w:tr>
      <w:tr>
        <w:tblPrEx>
          <w:tblCellMar>
            <w:top w:w="0" w:type="dxa"/>
            <w:left w:w="0" w:type="dxa"/>
            <w:bottom w:w="0" w:type="dxa"/>
            <w:right w:w="0" w:type="dxa"/>
          </w:tblCellMar>
        </w:tblPrEx>
        <w:trPr>
          <w:trHeight w:val="2776"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17</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0220220630700414</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多下基层指导工作。</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规划产业处</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办公室</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科教处</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法监处</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医政处</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1.赴河池市环江毛南族自治县、大化瑶族自治县、东兰县等地实地调研工程项目建设情况，了解项目推进存在的困难，推动项目尽快实施。</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2.赴上思、东兴等县实地调研，了解医院投入使用存在的具体困难和问题、办理医疗机构执业许可的堵点，组织地方有关部门交流座谈，针对性指导医院建设推进。</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3.组织专家开展“三个一批”示范基地现场核验工作，加强对示范基地管理，促进中医药与养生养老、旅游等产业融合，推动中药材种植、生产、使用等环节产业链全面发展。</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4.组织专家赴各地市开展2022年度现场绩效评价和专项审计工作，全面了解中央资金项目实施方案执行、项目管理监督机制建设、资金下达和执行等情况，督促资金落实到位，项目推进到位。</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5.积极参加地市组织的相关培训班，对地市相关工作开展指导、授课。</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6.进一步贯彻落实中央和自治区关于大兴调查研究的工作部署，出台《自治区中医药局大兴调查研究推动中医药壮瑶医药振兴发展实施方案》（下简称“实施方案”）。</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7.严格对照实施方案，坚持以问题为导向，聚焦中医药服务体系、中医药科研水平、中医药人才队伍建设、中医药产业发展、中医药宣传与文化传播存在的难点问题多下基层调研指导，8月底前要集中解决一批调研中发现的问题，11月底前解决问题要取得明显成效。</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8.加强调研，主动了解基层中医药人员的实际工作需要，结合我处基层中医药人才培养、名中医培养等业务工作，解决基层相关实际问题和困难。</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9.坚持定期不定期深入基层进行调研，及时掌握基层一线情况，倾听基层群众意见，解决基层群众难点问题。</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10.到崇左、百色等地开展推进中医药领域项目建设、医疗服务、人才建设等方面整改调研。</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1.出台《自治区中医药局大兴调查研究推动中医药壮瑶医药振兴发展实施方案》。</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2.出 台《自治区中医药壮瑶医药传承创新发展试验 区建设管理实施细则》，赴防城港市调研，指导其创建自治区中医药壮瑶医药传承创新发展试验区。</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3.举办一场中医药健康文化宣传活动，邀请7家单位、28名中医专家参与主题活动，通过展览展示、健康咨询（义诊）、中医药文艺表演、互动体验等丰富活动传播中医药健康文化。</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4.指导环江县中医医院办理医疗机构执业许可证，推动其正式投入使用。指导并推动大化县中医医院加快推进工程建设，基本完成一期项目基础设施建设。</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5.开展第三批“三个一批”示范基地遴选工作，通过集中答辩、现场评审、厅局会审等程序，遴选并公布第三批“三个一批”示范基地名单。</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6.组织专家赴各地市开展2022年度现场绩效评价和专项审计工作，形成2022年度中央对地方转移支付中医药资金绩效自评报告。</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7.指导广西中医药研究院在桂林龙胜开展《广西壮族自治区中医药条例》普法宣传活动，增强群众用法意识。</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8.赴基层开展《广西基层中医药适宜技术推广应用现状》调研，了解全区各地乡镇卫生院、社区卫生服务中心、村卫生室等中医药适宜技术开展应用情况，结合我处业务工作，开展基层名中医工作室、名中医工作站建设，开展中医全科医生转岗培训、中医馆骨干人才培训和基层卫生人才中医药知识与技能培训等。</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r>
        <w:tblPrEx>
          <w:tblCellMar>
            <w:top w:w="0" w:type="dxa"/>
            <w:left w:w="0" w:type="dxa"/>
            <w:bottom w:w="0" w:type="dxa"/>
            <w:right w:w="0" w:type="dxa"/>
          </w:tblCellMar>
        </w:tblPrEx>
        <w:trPr>
          <w:trHeight w:val="8431" w:hRule="atLeast"/>
        </w:trPr>
        <w:tc>
          <w:tcPr>
            <w:tcW w:w="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18</w:t>
            </w:r>
          </w:p>
        </w:tc>
        <w:tc>
          <w:tcPr>
            <w:tcW w:w="11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本系统市县两级干部职工</w:t>
            </w:r>
          </w:p>
        </w:tc>
        <w:tc>
          <w:tcPr>
            <w:tcW w:w="11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0220220630700415</w:t>
            </w:r>
          </w:p>
        </w:tc>
        <w:tc>
          <w:tcPr>
            <w:tcW w:w="12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建议协调市县成立正式一中医药管理局，配备专职。</w:t>
            </w: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办公室</w:t>
            </w:r>
          </w:p>
        </w:tc>
        <w:tc>
          <w:tcPr>
            <w:tcW w:w="40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根据《中国共产党机构编制工作条例》《地方各级人民政府机构设置编制管理条例》等法规规定，机构编制事权在市、县（市、区）党委，地方各级党委机构编制委员会管理本地区机构编制工作，上级行政机构不得干预下级行政机构的设置和编制管理等工作。我局根据部门职责权限，开展市、县（市、区）中医药管理体系调研梳理情况并通报，主动向自治区党委编制部门汇报情况，争取在推动建立健全市县级中医药管理机构上给予指导和支持。</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指导各地积极向当地党委、政府报告，主动向党委编制部门汇报工作，推动贯彻落实中医药法、关于促进中医药壮瑶医药传承创新发展的实施意见、自治区中医药条例有关要求，建立完善中医药管理体系，合理配置人员力量，健全中医药发展统筹协调机制和工作机制。</w:t>
            </w:r>
          </w:p>
        </w:tc>
        <w:tc>
          <w:tcPr>
            <w:tcW w:w="35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1.对全区各市、县（市、区）中医药管理体系建设情况进行通报1次。</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2.赴自治区党委编办进行专题汇报1次。</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3.推动部分市县中医药管理机构挂牌、配置人员力量，如百色市挂牌成立中医药局、东兰县成立县中医药发展中心等，健全中医药发展统筹协调机制和工作机制。</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2023年11月30日</w:t>
            </w:r>
          </w:p>
        </w:tc>
      </w:tr>
    </w:tbl>
    <w:p>
      <w:pPr>
        <w:keepNext w:val="0"/>
        <w:keepLines w:val="0"/>
        <w:pageBreakBefore w:val="0"/>
        <w:widowControl w:val="0"/>
        <w:kinsoku/>
        <w:wordWrap/>
        <w:overflowPunct/>
        <w:topLinePunct w:val="0"/>
        <w:autoSpaceDE/>
        <w:autoSpaceDN/>
        <w:bidi w:val="0"/>
        <w:adjustRightInd/>
        <w:snapToGrid/>
        <w:spacing w:line="560" w:lineRule="exact"/>
        <w:jc w:val="both"/>
        <w:textAlignment w:val="auto"/>
        <w:outlineLvl w:val="9"/>
        <w:rPr>
          <w:rFonts w:hint="eastAsia" w:ascii="仿宋_GB2312" w:eastAsia="仿宋_GB2312"/>
          <w:sz w:val="32"/>
          <w:szCs w:val="32"/>
        </w:rPr>
        <w:sectPr>
          <w:footerReference r:id="rId4" w:type="first"/>
          <w:footerReference r:id="rId3" w:type="default"/>
          <w:pgSz w:w="16838" w:h="11906" w:orient="landscape"/>
          <w:pgMar w:top="1701" w:right="1701" w:bottom="1417" w:left="1417" w:header="851" w:footer="992"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pStyle w:val="2"/>
        <w:keepNext w:val="0"/>
        <w:keepLines w:val="0"/>
        <w:pageBreakBefore w:val="0"/>
        <w:widowControl w:val="0"/>
        <w:kinsoku/>
        <w:wordWrap/>
        <w:overflowPunct/>
        <w:topLinePunct w:val="0"/>
        <w:bidi w:val="0"/>
        <w:snapToGrid/>
        <w:spacing w:line="560" w:lineRule="exact"/>
        <w:textAlignment w:val="auto"/>
        <w:outlineLvl w:val="9"/>
      </w:pPr>
      <w:bookmarkStart w:id="0" w:name="_GoBack"/>
      <w:bookmarkEnd w:id="0"/>
    </w:p>
    <w:sectPr>
      <w:footerReference r:id="rId5" w:type="default"/>
      <w:pgSz w:w="11906" w:h="16838"/>
      <w:pgMar w:top="1701" w:right="1417" w:bottom="1417"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7A"/>
    <w:family w:val="roman"/>
    <w:pitch w:val="default"/>
    <w:sig w:usb0="00000000" w:usb1="00000000"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B0600000000000000"/>
    <w:charset w:val="86"/>
    <w:family w:val="auto"/>
    <w:pitch w:val="default"/>
    <w:sig w:usb0="30000083" w:usb1="2BDF3C10" w:usb2="00000016" w:usb3="00000000" w:csb0="602E0107"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rFonts w:hint="eastAsia" w:asci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176IwHQIAACkEAAAOAAAAZHJz&#10;L2Uyb0RvYy54bWytU82O0zAQviPxDpbvNGkrVl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mr/P04WJBcKWRI/ZxLjZKodt2fXNbUx7R&#10;mzNncnjL1zWSb5gPj8yBDSgYDA8POKQySGJ6iZLKuM9/e4/+GBKslLRgV0E16E+JeqcxvEjEQXCD&#10;sB0EvW/uDOg6xuZYnkR8cEENonSm+QTar2IOyZRHYKY5smE0g3gXoPVGrA8Xq9VF31tX76rrZ1DR&#10;srDRT5b3w43YervaB+CbYI+YnYHqoQQf0+D63YmE/1VPXtcNXz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PXvojAdAgAAKQQAAA4AAAAAAAAAAQAgAAAANQEAAGRycy9lMm9Eb2MueG1sUEsF&#10;BgAAAAAGAAYAWQEAAMQFA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SQizEBwCAAApBAAADgAAAAAAAAABACAAAAA1AQAAZHJzL2Uyb0RvYy54bWxQSwUG&#10;AAAAAAYABgBZAQAAww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I3NWQxNDIzZWYzMGViMDk4MTljZjQ4ZGYxOWU0ZWIifQ=="/>
  </w:docVars>
  <w:rsids>
    <w:rsidRoot w:val="7B8F47AB"/>
    <w:rsid w:val="049A4F63"/>
    <w:rsid w:val="0F4020BC"/>
    <w:rsid w:val="14353475"/>
    <w:rsid w:val="14D61BF2"/>
    <w:rsid w:val="19FD2332"/>
    <w:rsid w:val="1FAA326F"/>
    <w:rsid w:val="1FEB4D20"/>
    <w:rsid w:val="20ED5C73"/>
    <w:rsid w:val="2392443F"/>
    <w:rsid w:val="243470FC"/>
    <w:rsid w:val="27E068A1"/>
    <w:rsid w:val="292B3185"/>
    <w:rsid w:val="29E03A2B"/>
    <w:rsid w:val="2DAA1D2E"/>
    <w:rsid w:val="30A57091"/>
    <w:rsid w:val="385D334A"/>
    <w:rsid w:val="38A422C0"/>
    <w:rsid w:val="3C7D7506"/>
    <w:rsid w:val="3E6215AE"/>
    <w:rsid w:val="3EFEC0B3"/>
    <w:rsid w:val="3FE41CDA"/>
    <w:rsid w:val="43FB62F6"/>
    <w:rsid w:val="4575B6F2"/>
    <w:rsid w:val="4C152B6A"/>
    <w:rsid w:val="4CE8020F"/>
    <w:rsid w:val="537E1E01"/>
    <w:rsid w:val="561C49EC"/>
    <w:rsid w:val="5C545AC1"/>
    <w:rsid w:val="5C9B2E55"/>
    <w:rsid w:val="5D2B7B8A"/>
    <w:rsid w:val="5D364389"/>
    <w:rsid w:val="5D8A615B"/>
    <w:rsid w:val="5FB050C3"/>
    <w:rsid w:val="63614E39"/>
    <w:rsid w:val="69D84B4F"/>
    <w:rsid w:val="69FF0CFF"/>
    <w:rsid w:val="6BBE7C56"/>
    <w:rsid w:val="6C5A2BED"/>
    <w:rsid w:val="6C6B43A8"/>
    <w:rsid w:val="6D237CEF"/>
    <w:rsid w:val="6F456730"/>
    <w:rsid w:val="6F9948DF"/>
    <w:rsid w:val="6FC93AFD"/>
    <w:rsid w:val="70285CA2"/>
    <w:rsid w:val="7AD457E9"/>
    <w:rsid w:val="7B8F47AB"/>
    <w:rsid w:val="7DAE2D99"/>
    <w:rsid w:val="7DAEA1EB"/>
    <w:rsid w:val="7EFD12F0"/>
    <w:rsid w:val="7F874233"/>
    <w:rsid w:val="7FEF6B08"/>
    <w:rsid w:val="9F3F8324"/>
    <w:rsid w:val="B3D424BE"/>
    <w:rsid w:val="B7FB8D8B"/>
    <w:rsid w:val="BEBA753C"/>
    <w:rsid w:val="BFE6B66A"/>
    <w:rsid w:val="D2DDA745"/>
    <w:rsid w:val="DFEFE3D3"/>
    <w:rsid w:val="F3ADFE94"/>
    <w:rsid w:val="F7EFE6ED"/>
    <w:rsid w:val="FB27CC13"/>
    <w:rsid w:val="FEE78815"/>
    <w:rsid w:val="FF7F940A"/>
    <w:rsid w:val="FFECE6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方正小标宋简体" w:hAnsi="方正小标宋简体" w:eastAsia="方正小标宋简体" w:cs="Times New Roman"/>
      <w:color w:val="000000"/>
      <w:sz w:val="24"/>
      <w:szCs w:val="22"/>
      <w:lang w:val="en-US" w:eastAsia="zh-CN" w:bidi="ar-SA"/>
    </w:rPr>
  </w:style>
  <w:style w:type="paragraph" w:styleId="3">
    <w:name w:val="footer"/>
    <w:basedOn w:val="1"/>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character" w:customStyle="1" w:styleId="9">
    <w:name w:val="font21"/>
    <w:basedOn w:val="7"/>
    <w:qFormat/>
    <w:uiPriority w:val="0"/>
    <w:rPr>
      <w:rFonts w:hint="eastAsia" w:ascii="宋体" w:hAnsi="宋体" w:eastAsia="宋体" w:cs="宋体"/>
      <w:color w:val="000000"/>
      <w:sz w:val="22"/>
      <w:szCs w:val="22"/>
      <w:u w:val="none"/>
    </w:rPr>
  </w:style>
  <w:style w:type="character" w:customStyle="1" w:styleId="10">
    <w:name w:val="font01"/>
    <w:basedOn w:val="7"/>
    <w:qFormat/>
    <w:uiPriority w:val="0"/>
    <w:rPr>
      <w:rFonts w:hint="eastAsia" w:ascii="宋体" w:hAnsi="宋体" w:eastAsia="宋体" w:cs="宋体"/>
      <w:color w:val="FF0000"/>
      <w:sz w:val="22"/>
      <w:szCs w:val="2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633</Words>
  <Characters>668</Characters>
  <Lines>0</Lines>
  <Paragraphs>0</Paragraphs>
  <TotalTime>9</TotalTime>
  <ScaleCrop>false</ScaleCrop>
  <LinksUpToDate>false</LinksUpToDate>
  <CharactersWithSpaces>697</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2022-04-21T00:11:00Z</dcterms:created>
  <dc:creator>土豆</dc:creator>
  <cp:lastModifiedBy>gxxc</cp:lastModifiedBy>
  <cp:lastPrinted>2023-05-26T17:57:00Z</cp:lastPrinted>
  <dcterms:modified xsi:type="dcterms:W3CDTF">2023-05-26T20:26:35Z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0C9027BD02C243FFB1E3D62E5CB3C6DC</vt:lpwstr>
  </property>
</Properties>
</file>