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keepNext w:val="0"/>
        <w:keepLines w:val="0"/>
        <w:pageBreakBefore w:val="0"/>
        <w:kinsoku/>
        <w:wordWrap/>
        <w:overflowPunct/>
        <w:topLinePunct w:val="0"/>
        <w:bidi w:val="0"/>
        <w:spacing w:before="0" w:beforeAutospacing="0" w:after="0" w:afterAutospacing="0" w:line="580" w:lineRule="exact"/>
        <w:ind w:firstLine="0" w:firstLineChars="0"/>
        <w:jc w:val="center"/>
        <w:textAlignment w:val="auto"/>
        <w:outlineLvl w:val="9"/>
        <w:rPr>
          <w:rFonts w:hint="eastAsia" w:ascii="方正小标宋简体" w:hAnsi="方正小标宋简体" w:eastAsia="方正小标宋简体" w:cs="方正小标宋简体"/>
          <w:kern w:val="2"/>
          <w:sz w:val="44"/>
          <w:szCs w:val="44"/>
        </w:rPr>
      </w:pPr>
      <w:r>
        <w:rPr>
          <w:rFonts w:hint="eastAsia" w:ascii="方正小标宋简体" w:hAnsi="方正小标宋简体" w:eastAsia="方正小标宋简体" w:cs="方正小标宋简体"/>
          <w:kern w:val="2"/>
          <w:sz w:val="44"/>
          <w:szCs w:val="44"/>
        </w:rPr>
        <w:t>广西中药饮片代煎质量管理规范</w:t>
      </w:r>
    </w:p>
    <w:p>
      <w:pPr>
        <w:pStyle w:val="9"/>
        <w:keepNext w:val="0"/>
        <w:keepLines w:val="0"/>
        <w:pageBreakBefore w:val="0"/>
        <w:kinsoku/>
        <w:wordWrap/>
        <w:overflowPunct/>
        <w:topLinePunct w:val="0"/>
        <w:bidi w:val="0"/>
        <w:spacing w:before="0" w:beforeAutospacing="0" w:after="0" w:afterAutospacing="0" w:line="580" w:lineRule="exact"/>
        <w:ind w:firstLine="880" w:firstLineChars="20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（征求意见稿）</w:t>
      </w:r>
    </w:p>
    <w:p>
      <w:pPr>
        <w:pStyle w:val="9"/>
        <w:keepNext w:val="0"/>
        <w:keepLines w:val="0"/>
        <w:pageBreakBefore w:val="0"/>
        <w:kinsoku/>
        <w:wordWrap/>
        <w:overflowPunct/>
        <w:topLinePunct w:val="0"/>
        <w:bidi w:val="0"/>
        <w:spacing w:before="0" w:beforeAutospacing="0" w:after="0" w:afterAutospacing="0" w:line="580" w:lineRule="exact"/>
        <w:ind w:firstLine="0" w:firstLineChars="0"/>
        <w:jc w:val="center"/>
        <w:textAlignment w:val="auto"/>
        <w:outlineLvl w:val="9"/>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bidi w:val="0"/>
        <w:adjustRightInd/>
        <w:snapToGrid/>
        <w:spacing w:after="0" w:line="580" w:lineRule="exact"/>
        <w:jc w:val="center"/>
        <w:textAlignment w:val="auto"/>
        <w:outlineLvl w:val="9"/>
        <w:rPr>
          <w:rFonts w:hint="eastAsia"/>
        </w:rPr>
      </w:pPr>
      <w:r>
        <w:rPr>
          <w:rFonts w:hint="eastAsia" w:ascii="Times New Roman" w:hAnsi="Times New Roman" w:eastAsia="黑体" w:cs="Times New Roman"/>
          <w:color w:val="000000"/>
          <w:kern w:val="2"/>
          <w:sz w:val="32"/>
          <w:szCs w:val="32"/>
        </w:rPr>
        <w:t>第一章</w:t>
      </w:r>
      <w:r>
        <w:rPr>
          <w:rFonts w:hint="eastAsia" w:ascii="Times New Roman" w:hAnsi="Times New Roman" w:eastAsia="黑体" w:cs="Times New Roman"/>
          <w:color w:val="000000"/>
          <w:kern w:val="2"/>
          <w:sz w:val="32"/>
          <w:szCs w:val="32"/>
          <w:lang w:eastAsia="zh-CN"/>
        </w:rPr>
        <w:t>　</w:t>
      </w:r>
      <w:r>
        <w:rPr>
          <w:rFonts w:hint="eastAsia" w:ascii="Times New Roman" w:hAnsi="Times New Roman" w:eastAsia="黑体" w:cs="Times New Roman"/>
          <w:color w:val="000000"/>
          <w:kern w:val="2"/>
          <w:sz w:val="32"/>
          <w:szCs w:val="32"/>
        </w:rPr>
        <w:t>总</w:t>
      </w:r>
      <w:r>
        <w:rPr>
          <w:rFonts w:hint="eastAsia" w:ascii="Times New Roman" w:hAnsi="Times New Roman" w:eastAsia="黑体" w:cs="Times New Roman"/>
          <w:color w:val="000000"/>
          <w:kern w:val="2"/>
          <w:sz w:val="32"/>
          <w:szCs w:val="32"/>
          <w:lang w:eastAsia="zh-CN"/>
        </w:rPr>
        <w:t>　</w:t>
      </w:r>
      <w:r>
        <w:rPr>
          <w:rFonts w:hint="eastAsia" w:ascii="Times New Roman" w:hAnsi="Times New Roman" w:eastAsia="黑体" w:cs="Times New Roman"/>
          <w:color w:val="000000"/>
          <w:kern w:val="2"/>
          <w:sz w:val="32"/>
          <w:szCs w:val="32"/>
        </w:rPr>
        <w:t>则</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第一条　</w:t>
      </w:r>
      <w:r>
        <w:rPr>
          <w:rFonts w:hint="eastAsia" w:ascii="仿宋_GB2312" w:hAnsi="仿宋_GB2312" w:eastAsia="仿宋_GB2312" w:cs="仿宋_GB2312"/>
          <w:kern w:val="2"/>
          <w:sz w:val="32"/>
          <w:szCs w:val="32"/>
        </w:rPr>
        <w:t>为规范中药饮片代煎服务的质量安全管理，保证医疗机构委托代煎加工服务质量，提高中医药服务能力和水平，更好地满足群众代煎中药的需求，参照《医疗机构处方审核规范》、《医院中药饮片管理规范》和《医疗机构中药煎药室管理规范》 等相关规定和要求，结合我自治区实际情况，制定本规范。 </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第二条　</w:t>
      </w:r>
      <w:r>
        <w:rPr>
          <w:rFonts w:hint="eastAsia" w:ascii="仿宋_GB2312" w:hAnsi="仿宋_GB2312" w:eastAsia="仿宋_GB2312" w:cs="仿宋_GB2312"/>
          <w:kern w:val="2"/>
          <w:sz w:val="32"/>
          <w:szCs w:val="32"/>
        </w:rPr>
        <w:t>本规范适用于承接本自治区医疗机构委托中药煎药加工服务且取得药品生产或经营许可证并正常经营一年以上的中药饮片生产和医药批发企业（以下简称企业）。 </w:t>
      </w:r>
    </w:p>
    <w:p>
      <w:pPr>
        <w:pStyle w:val="9"/>
        <w:keepNext w:val="0"/>
        <w:keepLines w:val="0"/>
        <w:pageBreakBefore w:val="0"/>
        <w:widowControl w:val="0"/>
        <w:kinsoku w:val="0"/>
        <w:wordWrap/>
        <w:overflowPunct w:val="0"/>
        <w:topLinePunct w:val="0"/>
        <w:autoSpaceDE w:val="0"/>
        <w:autoSpaceDN w:val="0"/>
        <w:bidi w:val="0"/>
        <w:adjustRightInd/>
        <w:snapToGrid/>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第三条　</w:t>
      </w:r>
      <w:r>
        <w:rPr>
          <w:rFonts w:hint="eastAsia" w:ascii="仿宋_GB2312" w:hAnsi="仿宋_GB2312" w:eastAsia="仿宋_GB2312" w:cs="仿宋_GB2312"/>
          <w:kern w:val="2"/>
          <w:sz w:val="32"/>
          <w:szCs w:val="32"/>
        </w:rPr>
        <w:t>企业应严格执行本规范，坚持诚信自律，保证代煎中药的质量和患者用药安全。</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p>
    <w:p>
      <w:pPr>
        <w:keepNext w:val="0"/>
        <w:keepLines w:val="0"/>
        <w:pageBreakBefore w:val="0"/>
        <w:widowControl w:val="0"/>
        <w:kinsoku/>
        <w:wordWrap/>
        <w:overflowPunct/>
        <w:topLinePunct w:val="0"/>
        <w:bidi w:val="0"/>
        <w:adjustRightInd/>
        <w:snapToGrid/>
        <w:spacing w:after="0" w:line="580" w:lineRule="exact"/>
        <w:jc w:val="center"/>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rPr>
        <w:t>第二章</w:t>
      </w:r>
      <w:r>
        <w:rPr>
          <w:rFonts w:hint="eastAsia" w:ascii="Times New Roman" w:hAnsi="Times New Roman" w:eastAsia="黑体" w:cs="Times New Roman"/>
          <w:color w:val="000000"/>
          <w:kern w:val="2"/>
          <w:sz w:val="32"/>
          <w:szCs w:val="32"/>
          <w:lang w:eastAsia="zh-CN"/>
        </w:rPr>
        <w:t>　</w:t>
      </w:r>
      <w:r>
        <w:rPr>
          <w:rFonts w:hint="eastAsia" w:ascii="Times New Roman" w:hAnsi="Times New Roman" w:eastAsia="黑体" w:cs="Times New Roman"/>
          <w:color w:val="000000"/>
          <w:kern w:val="2"/>
          <w:sz w:val="32"/>
          <w:szCs w:val="32"/>
        </w:rPr>
        <w:t>场地、设施和设备要求</w:t>
      </w:r>
    </w:p>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第四条　</w:t>
      </w:r>
      <w:r>
        <w:rPr>
          <w:rFonts w:hint="eastAsia" w:ascii="仿宋_GB2312" w:hAnsi="仿宋_GB2312" w:eastAsia="仿宋_GB2312" w:cs="仿宋_GB2312"/>
          <w:kern w:val="2"/>
          <w:sz w:val="32"/>
          <w:szCs w:val="32"/>
        </w:rPr>
        <w:t>企业应设置独立的煎药加工区域，其场所应与饮片生产经营场地严格分隔，周边环境卫生安全，无废气、废水、垃圾等污染源；应对中药煎药加工全过程进行监控，加强全程实时管理和质量追溯，监控视频资料至少保存60天。</w:t>
      </w:r>
    </w:p>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第五条　</w:t>
      </w:r>
      <w:r>
        <w:rPr>
          <w:rFonts w:hint="eastAsia" w:ascii="仿宋_GB2312" w:hAnsi="仿宋_GB2312" w:eastAsia="仿宋_GB2312" w:cs="仿宋_GB2312"/>
          <w:kern w:val="2"/>
          <w:sz w:val="32"/>
          <w:szCs w:val="32"/>
        </w:rPr>
        <w:t>开展中药煎药服务的企业，应当设置中药煎药专用饮片仓库。仓库面积应与代煎业务量相适应（不小于100平方米），能满足代煎饮片的周转和存储，仓储管理符合GSP的相关要求。</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第六条　</w:t>
      </w:r>
      <w:r>
        <w:rPr>
          <w:rFonts w:hint="eastAsia" w:ascii="仿宋_GB2312" w:hAnsi="仿宋_GB2312" w:eastAsia="仿宋_GB2312" w:cs="仿宋_GB2312"/>
          <w:kern w:val="2"/>
          <w:sz w:val="32"/>
          <w:szCs w:val="32"/>
        </w:rPr>
        <w:t>企业应当设有与代煎业务量相适应的饮片调配场所，调配区域面积应不小于100平方米，调配区、煎药区、生活区分开；配有调配操作台、调温、控湿、防虫、防鼠等设施，有温湿度监测调控记录；调配间的药斗（筒）等饮片存放容器排列合理，有品名标签，标签与药品相符，与《中国药典》或地方标准的炮制名相符；调配饮片装斗（筒）前应及时清斗，防止错斗、串斗等混药情况发生。</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第七条　</w:t>
      </w:r>
      <w:r>
        <w:rPr>
          <w:rFonts w:hint="eastAsia" w:ascii="仿宋_GB2312" w:hAnsi="仿宋_GB2312" w:eastAsia="仿宋_GB2312" w:cs="仿宋_GB2312"/>
          <w:kern w:val="2"/>
          <w:sz w:val="32"/>
          <w:szCs w:val="32"/>
        </w:rPr>
        <w:t>加强煎药设备的维护保养和分类管理，确保设备完好和运行安全</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设备应当有明显的状态标识；内服与外用的煎药机、包装机严格分开使用，并有明显的分区标识，有合格标志。不合格的器具不得使用。</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第八条　</w:t>
      </w:r>
      <w:r>
        <w:rPr>
          <w:rFonts w:hint="eastAsia" w:ascii="仿宋_GB2312" w:hAnsi="仿宋_GB2312" w:eastAsia="仿宋_GB2312" w:cs="仿宋_GB2312"/>
          <w:kern w:val="2"/>
          <w:sz w:val="32"/>
          <w:szCs w:val="32"/>
        </w:rPr>
        <w:t>煎药场地面积应与代煎加工的业务规模相适应，应不小于100平方米，区域布局合理，能有效防止作业差错和交叉污染。设置独立操作区、浸泡区、煎煮区、清洗区、储药区、更衣室等功能区域，工作区与生活区分开。特殊用药如外用药、妊娠用药要有专门的煎药机进行煎煮，有明显的分区标识，实行定置管理。设有临方炮制的，应按行业有关规范要求制定管理制度，配置相应的器具和辅料。 </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第九条　</w:t>
      </w:r>
      <w:r>
        <w:rPr>
          <w:rFonts w:hint="eastAsia" w:ascii="仿宋_GB2312" w:hAnsi="仿宋_GB2312" w:eastAsia="仿宋_GB2312" w:cs="仿宋_GB2312"/>
          <w:kern w:val="2"/>
          <w:sz w:val="32"/>
          <w:szCs w:val="32"/>
        </w:rPr>
        <w:t>煎药场所地面、墙面、顶壁应当平整、洁净、无污染、易清洁，不易发霉和脱落；管道、灯具、风口等设施的设置应当便于清洁；应有安全消防等防护措施和给排水、通风、防尘、防动物昆虫侵入等设施。储存药液的储药区应保持在20℃以下，需要 2-8℃储存的药品须配备冷藏设施。</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sz w:val="32"/>
          <w:szCs w:val="32"/>
        </w:rPr>
      </w:pPr>
      <w:r>
        <w:rPr>
          <w:rFonts w:hint="eastAsia" w:ascii="Times New Roman" w:hAnsi="Times New Roman" w:eastAsia="黑体" w:cs="Times New Roman"/>
          <w:color w:val="000000"/>
          <w:kern w:val="2"/>
          <w:sz w:val="32"/>
          <w:szCs w:val="32"/>
          <w:lang w:val="en-US" w:eastAsia="zh-CN" w:bidi="ar-SA"/>
        </w:rPr>
        <w:t>　　第十条　</w:t>
      </w:r>
      <w:r>
        <w:rPr>
          <w:rFonts w:hint="eastAsia" w:ascii="仿宋_GB2312" w:hAnsi="仿宋_GB2312" w:eastAsia="仿宋_GB2312" w:cs="仿宋_GB2312"/>
          <w:kern w:val="2"/>
          <w:sz w:val="32"/>
          <w:szCs w:val="32"/>
        </w:rPr>
        <w:t>企业应根据煎药业务规模和操作要求，配备必要的煎药加工设备（一台包装机最多配四台煎药机）和量杯（筒）、过滤、计时等辅助器具。煎煮毒性或外用中药的煎药、包装设备应专用</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并标有明显标记。直接与药物接触的煎药容器具应选用耐腐蚀、不易与药汁起反应、不释放有害物质的陶瓷、搪瓷、不锈钢、铜等材料，不得使用铝、铁和普通塑料制品。煎药袋的材质应无毒害、耐用、耐高温、有滤过功能并定期更换，不得使用有破损的煎药袋，并且达到药包材标准。</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第十一条　</w:t>
      </w:r>
      <w:r>
        <w:rPr>
          <w:rFonts w:hint="eastAsia" w:ascii="仿宋_GB2312" w:hAnsi="仿宋_GB2312" w:eastAsia="仿宋_GB2312" w:cs="仿宋_GB2312"/>
          <w:kern w:val="2"/>
          <w:sz w:val="32"/>
          <w:szCs w:val="32"/>
        </w:rPr>
        <w:t>煎药场地应保持整洁卫生，不得放置与煎药无关的物品。煎药设施设备、器具使用前应确保清洁，要有清洁规程和每日清洁记录。用于清扫、清洗和消毒的设备、用具应放置在专用的场所妥善保管。煎药过程中产生的废弃物应及时清理；每剂煎药结束，应及时洗净煎药袋及煎药、包装设备和容器，严防混药和污染；每天煎药结束按规定做好清场工作。</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第十二条　</w:t>
      </w:r>
      <w:r>
        <w:rPr>
          <w:rFonts w:hint="eastAsia" w:ascii="仿宋_GB2312" w:hAnsi="仿宋_GB2312" w:eastAsia="仿宋_GB2312" w:cs="仿宋_GB2312"/>
          <w:kern w:val="2"/>
          <w:sz w:val="32"/>
          <w:szCs w:val="32"/>
        </w:rPr>
        <w:t>煎药场所应当定期进行消毒。洗涤剂、消毒剂品种应定期更换，并符合《食品工具、设备用洗涤卫生标准》（GB14930.1）和《食品工具、设备用洗涤消毒剂卫生标准》（GB14930.2）等有关卫生标准和要求，不得对设备和药物产生腐蚀和污染，煎药场所应设有紫外消毒设施。</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第十三条　</w:t>
      </w:r>
      <w:r>
        <w:rPr>
          <w:rFonts w:hint="eastAsia" w:ascii="仿宋_GB2312" w:hAnsi="仿宋_GB2312" w:eastAsia="仿宋_GB2312" w:cs="仿宋_GB2312"/>
          <w:kern w:val="2"/>
          <w:sz w:val="32"/>
          <w:szCs w:val="32"/>
        </w:rPr>
        <w:t>企业需具备监控煎煮过程的相关信息系统与设备，实现煎煮全程可视化、煎煮流程可追溯性，满足委托单位可时时可查询煎煮进度的需求，并且在后续服务中不断提高煎煮信息化建设，保证患者信息安全。</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center"/>
        <w:textAlignment w:val="auto"/>
        <w:outlineLvl w:val="9"/>
        <w:rPr>
          <w:rFonts w:hint="eastAsia" w:ascii="Times New Roman" w:hAnsi="Times New Roman" w:eastAsia="黑体" w:cs="Times New Roman"/>
          <w:color w:val="000000"/>
          <w:kern w:val="2"/>
          <w:sz w:val="32"/>
          <w:szCs w:val="32"/>
          <w:lang w:val="en-US" w:eastAsia="zh-CN" w:bidi="ar-SA"/>
        </w:rPr>
      </w:pPr>
      <w:r>
        <w:rPr>
          <w:rFonts w:hint="eastAsia" w:ascii="Times New Roman" w:hAnsi="Times New Roman" w:eastAsia="黑体" w:cs="Times New Roman"/>
          <w:color w:val="000000"/>
          <w:kern w:val="2"/>
          <w:sz w:val="32"/>
          <w:szCs w:val="32"/>
          <w:lang w:val="en-US" w:eastAsia="zh-CN" w:bidi="ar-SA"/>
        </w:rPr>
        <w:t>第三章　人员要求</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第十四条　</w:t>
      </w:r>
      <w:r>
        <w:rPr>
          <w:rFonts w:hint="eastAsia" w:ascii="仿宋_GB2312" w:hAnsi="仿宋_GB2312" w:eastAsia="仿宋_GB2312" w:cs="仿宋_GB2312"/>
          <w:kern w:val="2"/>
          <w:sz w:val="32"/>
          <w:szCs w:val="32"/>
        </w:rPr>
        <w:t>开展中药煎药服务的企业，应设有独立的煎药管理部门，煎药部门负责人应具备一定理论水平和三年以上煎药工作经验，具有药学或中药学大专以上学历，或者具有中药师及以上专业技术职称，具体负责煎药业务指导、质量监督及组织管理工作；质量管理员应为中药学专业人员，具体负责煎药质量管理。</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第十五条　</w:t>
      </w:r>
      <w:r>
        <w:rPr>
          <w:rFonts w:hint="eastAsia" w:ascii="仿宋_GB2312" w:hAnsi="仿宋_GB2312" w:eastAsia="仿宋_GB2312" w:cs="仿宋_GB2312"/>
          <w:kern w:val="2"/>
          <w:sz w:val="32"/>
          <w:szCs w:val="32"/>
        </w:rPr>
        <w:t>企业代煎中药处方的调配过程中，审方、调配与复核人员的资质， 应当符合GSP管理的相关要求。经GSP培训合格后，持证上岗。 </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（一）审核人员：具有执业中药师或主管中药师及以上专业技术职称。</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（二）调配人员：具有中药学中专以上学历或者具备中药调剂员资格。</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（三）复核人员：具有饮片鉴别经验，且具有执业中药师或主管中药师及以上专业技术职称。</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第十六条　</w:t>
      </w:r>
      <w:r>
        <w:rPr>
          <w:rFonts w:hint="eastAsia" w:ascii="仿宋_GB2312" w:hAnsi="仿宋_GB2312" w:eastAsia="仿宋_GB2312" w:cs="仿宋_GB2312"/>
          <w:kern w:val="2"/>
          <w:sz w:val="32"/>
          <w:szCs w:val="32"/>
        </w:rPr>
        <w:t>煎药人员必须经过</w:t>
      </w:r>
      <w:r>
        <w:rPr>
          <w:rFonts w:hint="eastAsia" w:ascii="仿宋_GB2312" w:hAnsi="仿宋_GB2312" w:eastAsia="仿宋_GB2312" w:cs="仿宋_GB2312"/>
          <w:kern w:val="2"/>
          <w:sz w:val="32"/>
          <w:szCs w:val="32"/>
          <w:lang w:val="en-US" w:eastAsia="zh-CN"/>
        </w:rPr>
        <w:t>自治区中医药管理局委托的相关机构</w:t>
      </w:r>
      <w:r>
        <w:rPr>
          <w:rFonts w:hint="eastAsia" w:ascii="仿宋_GB2312" w:hAnsi="仿宋_GB2312" w:eastAsia="仿宋_GB2312" w:cs="仿宋_GB2312"/>
          <w:kern w:val="2"/>
          <w:sz w:val="32"/>
          <w:szCs w:val="32"/>
        </w:rPr>
        <w:t>组织的相关专业知识和操作技能的岗位培训，经考核合格后持证上岗。企业应结合实际和薄弱环节，有针对性地开展岗位复训，明确岗位操作和管理要求。每年企业员工的岗位复训时间不少于8小时，培训次数不得少于10次，应做好复训记录，归档备查。</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第十七条　</w:t>
      </w:r>
      <w:r>
        <w:rPr>
          <w:rFonts w:hint="eastAsia" w:ascii="仿宋_GB2312" w:hAnsi="仿宋_GB2312" w:eastAsia="仿宋_GB2312" w:cs="仿宋_GB2312"/>
          <w:kern w:val="2"/>
          <w:sz w:val="32"/>
          <w:szCs w:val="32"/>
        </w:rPr>
        <w:t>从事中药煎煮调配、复核与煎药的各岗位操作人员参照《药品从业人 员健康标准》，上岗前及每年度应进行健康体检，并建立健康档案。传染病、皮 肤病等可能污染药品的疾病患者和乙肝病毒携带者、体表有伤口未愈合者不得从事煎药相关工作。煎药操作人员在岗时要穿戴整洁工作服（帽），不得留长指甲、不涂指甲油、不佩带饰品，操作前做好手卫生。</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center"/>
        <w:textAlignment w:val="auto"/>
        <w:outlineLvl w:val="9"/>
        <w:rPr>
          <w:rFonts w:hint="eastAsia" w:ascii="仿宋_GB2312" w:hAnsi="仿宋_GB2312" w:eastAsia="仿宋_GB2312" w:cs="仿宋_GB2312"/>
          <w:kern w:val="2"/>
          <w:sz w:val="32"/>
          <w:szCs w:val="32"/>
        </w:rPr>
      </w:pPr>
      <w:r>
        <w:rPr>
          <w:rFonts w:hint="eastAsia" w:ascii="黑体" w:hAnsi="黑体" w:eastAsia="黑体" w:cs="黑体"/>
          <w:b w:val="0"/>
          <w:bCs w:val="0"/>
          <w:kern w:val="2"/>
          <w:sz w:val="32"/>
          <w:szCs w:val="32"/>
        </w:rPr>
        <w:t>第四章</w:t>
      </w:r>
      <w:r>
        <w:rPr>
          <w:rFonts w:hint="eastAsia" w:ascii="黑体" w:hAnsi="黑体" w:eastAsia="黑体" w:cs="黑体"/>
          <w:b w:val="0"/>
          <w:bCs w:val="0"/>
          <w:kern w:val="2"/>
          <w:sz w:val="32"/>
          <w:szCs w:val="32"/>
          <w:lang w:eastAsia="zh-CN"/>
        </w:rPr>
        <w:t>　</w:t>
      </w:r>
      <w:r>
        <w:rPr>
          <w:rFonts w:hint="eastAsia" w:ascii="黑体" w:hAnsi="黑体" w:eastAsia="黑体" w:cs="黑体"/>
          <w:b w:val="0"/>
          <w:bCs w:val="0"/>
          <w:kern w:val="2"/>
          <w:sz w:val="32"/>
          <w:szCs w:val="32"/>
        </w:rPr>
        <w:t>中药代煎的调配</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第十八条　</w:t>
      </w:r>
      <w:r>
        <w:rPr>
          <w:rFonts w:hint="eastAsia" w:ascii="仿宋_GB2312" w:hAnsi="仿宋_GB2312" w:eastAsia="仿宋_GB2312" w:cs="仿宋_GB2312"/>
          <w:kern w:val="2"/>
          <w:sz w:val="32"/>
          <w:szCs w:val="32"/>
        </w:rPr>
        <w:t>中药饮片的采购按照《药品管理法》等法律法规执行，严禁使用 质量不合格饮片，从源头上保证中药煎药质量。承接医疗机构委托代煎业务的饮片生产企业，应使用自产饮片或从具有合法资质的企业采购符合《中华人民共和国药典》、部颁标准或地方标准。饮片质量、规格、等级应达到委托单位协议要求，并做好饮片的质量验收工作，有验收记录存档。 </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b/>
          <w:bCs/>
          <w:kern w:val="2"/>
          <w:sz w:val="32"/>
          <w:szCs w:val="32"/>
        </w:rPr>
      </w:pPr>
      <w:r>
        <w:rPr>
          <w:rFonts w:hint="eastAsia" w:ascii="Times New Roman" w:hAnsi="Times New Roman" w:eastAsia="黑体" w:cs="Times New Roman"/>
          <w:color w:val="000000"/>
          <w:kern w:val="2"/>
          <w:sz w:val="32"/>
          <w:szCs w:val="32"/>
          <w:lang w:val="en-US" w:eastAsia="zh-CN" w:bidi="ar-SA"/>
        </w:rPr>
        <w:t>第十九条　</w:t>
      </w:r>
      <w:r>
        <w:rPr>
          <w:rFonts w:hint="eastAsia" w:ascii="仿宋_GB2312" w:hAnsi="仿宋_GB2312" w:eastAsia="仿宋_GB2312" w:cs="仿宋_GB2312"/>
          <w:b w:val="0"/>
          <w:bCs w:val="0"/>
          <w:kern w:val="2"/>
          <w:sz w:val="32"/>
          <w:szCs w:val="32"/>
        </w:rPr>
        <w:t>中药煎药专用饮片仓库管理要求</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（一）质量员对入库的中药饮片，应根据原始凭证，严格按照有关规定逐批逐项进行验收：</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1</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入库饮片数量无误；</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饮片外观包装应当完好，并标明品名、产地、生产批号、生产企业、生产日期，按批文管理的饮片应标明有效期；</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3</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有合格标识和质量检验报告；</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4</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对饮片外观、性状作鉴别；</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5</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做好饮片入库验收记录。</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（二）按GSP要求做好中药饮片的养护和仓储管理。</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b w:val="0"/>
          <w:bCs w:val="0"/>
          <w:kern w:val="2"/>
          <w:sz w:val="32"/>
          <w:szCs w:val="32"/>
        </w:rPr>
      </w:pPr>
      <w:r>
        <w:rPr>
          <w:rFonts w:hint="eastAsia" w:ascii="Times New Roman" w:hAnsi="Times New Roman" w:eastAsia="黑体" w:cs="Times New Roman"/>
          <w:color w:val="000000"/>
          <w:kern w:val="2"/>
          <w:sz w:val="32"/>
          <w:szCs w:val="32"/>
          <w:lang w:val="en-US" w:eastAsia="zh-CN" w:bidi="ar-SA"/>
        </w:rPr>
        <w:t>第二十条</w:t>
      </w:r>
      <w:r>
        <w:rPr>
          <w:rFonts w:hint="eastAsia" w:ascii="Times New Roman" w:hAnsi="Times New Roman" w:eastAsia="黑体" w:cs="Times New Roman"/>
          <w:b w:val="0"/>
          <w:bCs w:val="0"/>
          <w:color w:val="000000"/>
          <w:kern w:val="2"/>
          <w:sz w:val="32"/>
          <w:szCs w:val="32"/>
          <w:lang w:val="en-US" w:eastAsia="zh-CN" w:bidi="ar-SA"/>
        </w:rPr>
        <w:t>　</w:t>
      </w:r>
      <w:r>
        <w:rPr>
          <w:rFonts w:hint="eastAsia" w:ascii="仿宋_GB2312" w:hAnsi="仿宋_GB2312" w:eastAsia="仿宋_GB2312" w:cs="仿宋_GB2312"/>
          <w:b w:val="0"/>
          <w:bCs w:val="0"/>
          <w:kern w:val="2"/>
          <w:sz w:val="32"/>
          <w:szCs w:val="32"/>
        </w:rPr>
        <w:t>中药代煎处方调配管理要求</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按照GSP相关要求，应由具备相应资质的人员进行处方审核、处方调配和调配复核，并在处方或操作记录上签章。调配与复核不得由同一个人操作。</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一）处方审核人员首先应对医疗机构委托煎药的处方进行审核，内容主要包括：医疗机构审方药师/医师签章、处方前记（包括患者姓名、诊断、辨证等基本信息）、处方医嘱，以及药品名称及剂量、配伍禁忌、剂数等。对有配伍禁忌、妊娠禁忌、超量使用等可能引起用药安全问题的处方，应不予调配，或经开具处方的医师本人重新确认后调配。处方审核人员应做好异常处方处置记录备查，不得擅自更改处方。处方审核人员在审方过程中，应遵照医嘱对处方功效（一般类药、解表类药、滋补类药）及先煎后下等特殊用法的药物进行分类标注，无处方功效医嘱的默认按常用的一般类药处理。对外用等特殊类处方，应在处方右上角标明。</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hint="eastAsia" w:ascii="仿宋_GB2312" w:hAnsi="仿宋_GB2312" w:eastAsia="仿宋_GB2312" w:cs="仿宋_GB2312"/>
          <w:kern w:val="2"/>
          <w:sz w:val="32"/>
          <w:szCs w:val="32"/>
        </w:rPr>
        <w:t>（二）调配人员应严格按医师处方进行调配，防止调配差错；调配剂量准确，总剂重量误差不超过±5%。</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hint="eastAsia" w:ascii="仿宋_GB2312" w:hAnsi="仿宋_GB2312" w:eastAsia="仿宋_GB2312" w:cs="仿宋_GB2312"/>
          <w:kern w:val="2"/>
          <w:sz w:val="32"/>
          <w:szCs w:val="32"/>
        </w:rPr>
        <w:t>（三）复核人员应对已完成调配的处方进行核对，如发现错配、漏配、多配、重配、总量不符等调配差错现象，应发还调配人员重新调配，已调配的不符合质量要求的药品不得重新使用。处方调配后未经复核的不得进入煎药工序。</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Times New Roman" w:hAnsi="Times New Roman" w:eastAsia="黑体" w:cs="Times New Roman"/>
          <w:color w:val="000000"/>
          <w:kern w:val="2"/>
          <w:sz w:val="32"/>
          <w:szCs w:val="32"/>
          <w:lang w:val="en-US" w:eastAsia="zh-CN" w:bidi="ar-SA"/>
        </w:rPr>
      </w:pPr>
      <w:r>
        <w:rPr>
          <w:rFonts w:hint="eastAsia" w:ascii="Times New Roman" w:hAnsi="Times New Roman" w:eastAsia="黑体" w:cs="Times New Roman"/>
          <w:color w:val="000000"/>
          <w:kern w:val="2"/>
          <w:sz w:val="32"/>
          <w:szCs w:val="32"/>
          <w:lang w:val="en-US" w:eastAsia="zh-CN" w:bidi="ar-SA"/>
        </w:rPr>
        <w:t>第二十一条　特殊调配的有关要求</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（一）凡按规定或处方要求需要先煎、后下、包煎、吞服、烊冲或外用等特殊用法的药物，应分别单独调配并在包装外注明。</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（二）毒性饮片的存放和使用应严格按照GSP相关要求执行。</w:t>
      </w:r>
    </w:p>
    <w:p>
      <w:pPr>
        <w:pStyle w:val="9"/>
        <w:keepNext w:val="0"/>
        <w:keepLines w:val="0"/>
        <w:pageBreakBefore w:val="0"/>
        <w:widowControl w:val="0"/>
        <w:kinsoku/>
        <w:wordWrap/>
        <w:overflowPunct/>
        <w:topLinePunct w:val="0"/>
        <w:bidi w:val="0"/>
        <w:spacing w:before="0" w:beforeAutospacing="0" w:after="0" w:afterAutospacing="0" w:line="580" w:lineRule="exact"/>
        <w:textAlignment w:val="auto"/>
        <w:outlineLvl w:val="9"/>
        <w:rPr>
          <w:rFonts w:hint="eastAsia" w:ascii="仿宋_GB2312" w:hAnsi="仿宋_GB2312" w:eastAsia="仿宋_GB2312" w:cs="仿宋_GB2312"/>
          <w:b/>
          <w:bCs/>
          <w:kern w:val="2"/>
          <w:sz w:val="32"/>
          <w:szCs w:val="32"/>
        </w:rPr>
      </w:pP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center"/>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第五章　中药代煎的操作要求</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第二十二条　</w:t>
      </w:r>
      <w:r>
        <w:rPr>
          <w:rFonts w:hint="eastAsia" w:ascii="仿宋_GB2312" w:hAnsi="仿宋_GB2312" w:eastAsia="仿宋_GB2312" w:cs="仿宋_GB2312"/>
          <w:kern w:val="2"/>
          <w:sz w:val="32"/>
          <w:szCs w:val="32"/>
        </w:rPr>
        <w:t>煎药用水应当符合国家饮用水卫生标准。待煎药物应使用40℃以下水先行浸泡，浸泡时间不少于30分钟，药物置于煎药袋浸泡的应不少于40分钟。</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第二十三条　</w:t>
      </w:r>
      <w:r>
        <w:rPr>
          <w:rFonts w:hint="eastAsia" w:ascii="仿宋_GB2312" w:hAnsi="仿宋_GB2312" w:eastAsia="仿宋_GB2312" w:cs="仿宋_GB2312"/>
          <w:kern w:val="2"/>
          <w:sz w:val="32"/>
          <w:szCs w:val="32"/>
        </w:rPr>
        <w:t>浸泡（煎药)的用水量应为饮片吸水量、煎煮过程中蒸发量及煎煮后所需药液量的总和，一般以浸过药面2-5厘米为宜。解表药可酌减水量，吸水性强或需要煎煮时间较长的药物等应适当增加水量。</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第二十四条　</w:t>
      </w:r>
      <w:r>
        <w:rPr>
          <w:rFonts w:hint="eastAsia" w:ascii="仿宋_GB2312" w:hAnsi="仿宋_GB2312" w:eastAsia="仿宋_GB2312" w:cs="仿宋_GB2312"/>
          <w:kern w:val="2"/>
          <w:sz w:val="32"/>
          <w:szCs w:val="32"/>
        </w:rPr>
        <w:t>每剂药一般煎煮两次，将两煎药汁混合后再分装。煎煮时间应当根据方剂的功能主治和药物功效确定。一般药物煮沸后再煎煮20-30分钟；解表类药物煮沸后再煎煮15-20分钟；滋补类药物先用武火煮沸后，改用文火煎煮40-60分钟。药剂第二煎的煎煮时间应当比第一煎的时间略缩短。</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煎煮过程中应搅拌药料2-3次，如是自动化设备煎煮，应具有不少于两次的自动挤压药包操作步骤。搅拌药料的用具以陶瓷、不锈钢、铜等材料为宜，搅拌用具搅拌完一料后应清洗再搅拌下一料药。</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第二十五条　</w:t>
      </w:r>
      <w:r>
        <w:rPr>
          <w:rFonts w:hint="eastAsia" w:ascii="仿宋_GB2312" w:hAnsi="仿宋_GB2312" w:eastAsia="仿宋_GB2312" w:cs="仿宋_GB2312"/>
          <w:kern w:val="2"/>
          <w:sz w:val="32"/>
          <w:szCs w:val="32"/>
        </w:rPr>
        <w:t>凡注明有先煎、后下、另煎、烊化、包煎、煎汤代水等特殊要求的中药饮片，应当按照规范要求或医嘱操作。</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hint="eastAsia" w:ascii="仿宋_GB2312" w:hAnsi="仿宋_GB2312" w:eastAsia="仿宋_GB2312" w:cs="仿宋_GB2312"/>
          <w:kern w:val="2"/>
          <w:sz w:val="32"/>
          <w:szCs w:val="32"/>
        </w:rPr>
        <w:t>（一）先煎：先煎药物应煮沸后煎10-15分钟，再和其它药物同煎。</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（二）后下：在药料第一煎即将煎至预定量时投入后下药物同煎5-10分钟。</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（三）包煎：包煎药应当装入包煎袋闭合后，再与其它药物同煎。    </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四）另煎：另煎药应当切成小薄片，煎煮约2小时，取汁；另炖药应切成薄片，放入有盖容器内，加入冷水（一般为药量的10倍左右）隔水炖2-3小时，取汁。此类药物的原处方如系复方，则所煎（炖）得的药汁还应当与方中其他药料所煎得的药汁混匀后，再行分装。某些特殊药物可根据药性特点具体确定煎（炖）药时间（用水适量）。</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（五）煎汤代水：该类药物先煎15-25分钟</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至药液适量后过滤、去渣、以药汤代水，再与方中其它药料同煎。</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（六）烊化（溶化）：应在其它药物煎至预定量时，将需溶化之药置入去渣后的药汁中，微火煎煮，同时不断搅拌，待需溶化的药溶解即可。</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（七）对于久煎、冲服、泡服等有其它特殊煎煮要求的药物，按规定要求操作。</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第二十六条　</w:t>
      </w:r>
      <w:r>
        <w:rPr>
          <w:rFonts w:hint="eastAsia" w:ascii="仿宋_GB2312" w:hAnsi="仿宋_GB2312" w:eastAsia="仿宋_GB2312" w:cs="仿宋_GB2312"/>
          <w:kern w:val="2"/>
          <w:sz w:val="32"/>
          <w:szCs w:val="32"/>
        </w:rPr>
        <w:t>煎药剂量根据儿童和成人分别确定。一般儿童每剂100-300毫升，成人每剂200-400毫升，每剂按两份等量分装。医师处方对</w:t>
      </w:r>
      <w:r>
        <w:rPr>
          <w:rFonts w:hint="eastAsia" w:ascii="仿宋_GB2312" w:hAnsi="仿宋_GB2312" w:eastAsia="仿宋_GB2312" w:cs="仿宋_GB2312"/>
          <w:kern w:val="2"/>
          <w:sz w:val="32"/>
          <w:szCs w:val="32"/>
          <w:lang w:val="en-US" w:eastAsia="zh-CN"/>
        </w:rPr>
        <w:t>用法</w:t>
      </w:r>
      <w:r>
        <w:rPr>
          <w:rFonts w:hint="eastAsia" w:ascii="仿宋_GB2312" w:hAnsi="仿宋_GB2312" w:eastAsia="仿宋_GB2312" w:cs="仿宋_GB2312"/>
          <w:kern w:val="2"/>
          <w:sz w:val="32"/>
          <w:szCs w:val="32"/>
        </w:rPr>
        <w:t>用量另有要求的应遵医嘱。</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第二十七条　</w:t>
      </w:r>
      <w:r>
        <w:rPr>
          <w:rFonts w:hint="eastAsia" w:ascii="仿宋_GB2312" w:hAnsi="仿宋_GB2312" w:eastAsia="仿宋_GB2312" w:cs="仿宋_GB2312"/>
          <w:sz w:val="32"/>
          <w:szCs w:val="32"/>
        </w:rPr>
        <w:t>药</w:t>
      </w:r>
      <w:r>
        <w:rPr>
          <w:rFonts w:hint="eastAsia" w:ascii="仿宋_GB2312" w:hAnsi="仿宋_GB2312" w:eastAsia="仿宋_GB2312" w:cs="仿宋_GB2312"/>
          <w:kern w:val="2"/>
          <w:sz w:val="32"/>
          <w:szCs w:val="32"/>
        </w:rPr>
        <w:t>物应当充分煎透，做到无糊块、无白心、无硬心，煎药时应当防止药液溢出、煎干或煮焦，煎干或煮焦者禁止药用。如包装打袋时总阀门未关闭造成药液流失，不允许用煎煮过的药品再煎煮。 </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第二十八条　</w:t>
      </w:r>
      <w:r>
        <w:rPr>
          <w:rFonts w:hint="eastAsia" w:ascii="仿宋_GB2312" w:hAnsi="仿宋_GB2312" w:eastAsia="仿宋_GB2312" w:cs="仿宋_GB2312"/>
          <w:kern w:val="2"/>
          <w:sz w:val="32"/>
          <w:szCs w:val="32"/>
        </w:rPr>
        <w:t>煎煮好的药液应当装入经过清洗和消毒并符合盛放食品要求的容器内，严防污染。分装药液的复合膜材料应当符合国家药品包装材料标准，有药用包材注册证和使用批次的检验报告。</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第二十九条　</w:t>
      </w:r>
      <w:r>
        <w:rPr>
          <w:rFonts w:hint="eastAsia" w:ascii="仿宋_GB2312" w:hAnsi="仿宋_GB2312" w:eastAsia="仿宋_GB2312" w:cs="仿宋_GB2312"/>
          <w:kern w:val="2"/>
          <w:sz w:val="32"/>
          <w:szCs w:val="32"/>
        </w:rPr>
        <w:t>内服药与外用药应当使用不同的标签区分。煎药标签从药品接收开始，必须随同煎药袋、浸泡容器、煎药容器、 包装药袋转移。 </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第三十条　</w:t>
      </w:r>
      <w:commentRangeStart w:id="0"/>
      <w:r>
        <w:rPr>
          <w:rFonts w:hint="eastAsia" w:ascii="仿宋_GB2312" w:hAnsi="仿宋_GB2312" w:eastAsia="仿宋_GB2312" w:cs="仿宋_GB2312"/>
          <w:kern w:val="2"/>
          <w:sz w:val="32"/>
          <w:szCs w:val="32"/>
        </w:rPr>
        <w:t>使用密闭式压力煎药机代煎中药，煎药机的煎药功能应当符合本规范的相关要求。煎药温度 100℃~120℃，压力一般不超过 0.1Mpa，保温时间依据药物性质和处方功效确定。使用带有自动挤压等功能的密闭式压力煎药机的，煎煮过程中必须自动挤压2次以上，带有手动挤压装置的密闭式压力煎药机必须按规定手工挤压2次以上，用来代替传统的手工搅拌过程。</w:t>
      </w:r>
      <w:commentRangeEnd w:id="0"/>
      <w:r>
        <w:rPr>
          <w:rFonts w:hint="eastAsia" w:ascii="仿宋_GB2312" w:hAnsi="仿宋_GB2312" w:eastAsia="仿宋_GB2312" w:cs="仿宋_GB2312"/>
          <w:kern w:val="2"/>
          <w:sz w:val="32"/>
          <w:szCs w:val="32"/>
        </w:rPr>
        <w:commentReference w:id="0"/>
      </w:r>
      <w:r>
        <w:rPr>
          <w:rFonts w:hint="eastAsia" w:ascii="仿宋_GB2312" w:hAnsi="仿宋_GB2312" w:eastAsia="仿宋_GB2312" w:cs="仿宋_GB2312"/>
          <w:kern w:val="2"/>
          <w:sz w:val="32"/>
          <w:szCs w:val="32"/>
        </w:rPr>
        <w:t>煎出的药液量应当与方剂的剂量相符，分装剂量应当均匀，每袋剂量与医生处方用药剂量误差不超过±5%。灌装药液袋内不应留有空气，包装药液的材料应当符合国家食品药品监督管理局《国家药品包装容器（材料）标准》。</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第三十一条　</w:t>
      </w:r>
      <w:r>
        <w:rPr>
          <w:rFonts w:hint="eastAsia" w:ascii="仿宋_GB2312" w:hAnsi="仿宋_GB2312" w:eastAsia="仿宋_GB2312" w:cs="仿宋_GB2312"/>
          <w:kern w:val="2"/>
          <w:sz w:val="32"/>
          <w:szCs w:val="32"/>
        </w:rPr>
        <w:t>包装好的药液应置于储药区或冷藏设施中保存。企业相关工作 人员在发药时应认真检查药液无破漏、无变质，并根据处方，认真核对患者姓名、剂数、剂量、是否外用等信息。分装的药液应有外包装，并有患者姓名相关信息和标识。住院病人代煎的中药，企业应按要求与医疗机构接收人员作好煎剂配送的交接记录并签字确认。门诊病人代煎的中药，企业应与配送公司签订协议，并做好每单配送交接记录，确保药品质量完好且按时送达。保证代煎企业的运输工具应洁净，避免高温、挤压，严禁与其他物品混运，装送煎剂的容器应能有效防止污染和受压破损。 </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b/>
          <w:bCs/>
          <w:kern w:val="2"/>
          <w:sz w:val="32"/>
          <w:szCs w:val="32"/>
        </w:rPr>
      </w:pPr>
      <w:r>
        <w:rPr>
          <w:rFonts w:hint="eastAsia" w:ascii="Times New Roman" w:hAnsi="Times New Roman" w:eastAsia="黑体" w:cs="Times New Roman"/>
          <w:color w:val="000000"/>
          <w:kern w:val="2"/>
          <w:sz w:val="32"/>
          <w:szCs w:val="32"/>
          <w:lang w:val="en-US" w:eastAsia="zh-CN" w:bidi="ar-SA"/>
        </w:rPr>
        <w:t>第三十二条　主要质量技术标准</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（一）中药饮片质量标准：符合现行版《中华人民共和国药典》、部颁标准或地方标准的规定。</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（二）煎药机煎液包装膜材质：PET/ PE耐高温、无毒，符合药品包装材料《YBB00132002—2015版》药用复合膜通则规定要求。</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（三）汤剂的质量标准：</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1</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药料煎透度：茎、根块类药渣应无白心、无硬心。汁浓味厚，色泽均匀，无可见异物。</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药液装量：每袋分装均匀，装量差异控制在±5%以内。</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3</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包装质量：药液包装袋封口平整完好，无渗漏，无药汁污染。</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p>
    <w:p>
      <w:pPr>
        <w:keepNext w:val="0"/>
        <w:keepLines w:val="0"/>
        <w:pageBreakBefore w:val="0"/>
        <w:widowControl w:val="0"/>
        <w:kinsoku/>
        <w:wordWrap/>
        <w:overflowPunct/>
        <w:topLinePunct w:val="0"/>
        <w:bidi w:val="0"/>
        <w:adjustRightInd/>
        <w:snapToGrid/>
        <w:spacing w:after="0" w:line="580" w:lineRule="exact"/>
        <w:jc w:val="center"/>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rPr>
        <w:t>第六章</w:t>
      </w:r>
      <w:r>
        <w:rPr>
          <w:rFonts w:hint="eastAsia" w:ascii="Times New Roman" w:hAnsi="Times New Roman" w:eastAsia="黑体" w:cs="Times New Roman"/>
          <w:color w:val="000000"/>
          <w:kern w:val="2"/>
          <w:sz w:val="32"/>
          <w:szCs w:val="32"/>
          <w:lang w:eastAsia="zh-CN"/>
        </w:rPr>
        <w:t>　</w:t>
      </w:r>
      <w:r>
        <w:rPr>
          <w:rFonts w:hint="eastAsia" w:ascii="Times New Roman" w:hAnsi="Times New Roman" w:eastAsia="黑体" w:cs="Times New Roman"/>
          <w:color w:val="000000"/>
          <w:kern w:val="2"/>
          <w:sz w:val="32"/>
          <w:szCs w:val="32"/>
        </w:rPr>
        <w:t>煎药管理要求</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第三十三条　</w:t>
      </w:r>
      <w:r>
        <w:rPr>
          <w:rFonts w:hint="eastAsia" w:ascii="仿宋_GB2312" w:hAnsi="仿宋_GB2312" w:eastAsia="仿宋_GB2312" w:cs="仿宋_GB2312"/>
          <w:kern w:val="2"/>
          <w:sz w:val="32"/>
          <w:szCs w:val="32"/>
        </w:rPr>
        <w:t>企业承接医疗机构委托煎药服务，应与委托方签定委托煎煮服务协议。受托方应全面加强中药饮片代煎服务管理，强化中药饮片质量、调剂与代煎加工过程等的质量控制。严格按照相关规定加强信息安全建设和管理，妥善保管相关信息并定期销毁，不得泄露患者个人信息。受托方应自觉接受委托方监管，根据委托方要求，不断改进和提高代煎加工服务质量。</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第三十四条</w:t>
      </w:r>
      <w:r>
        <w:rPr>
          <w:rFonts w:hint="eastAsia" w:ascii="仿宋_GB2312" w:hAnsi="仿宋_GB2312" w:eastAsia="仿宋_GB2312" w:cs="仿宋_GB2312"/>
          <w:kern w:val="2"/>
          <w:sz w:val="32"/>
          <w:szCs w:val="32"/>
        </w:rPr>
        <w:t> </w:t>
      </w:r>
      <w:r>
        <w:rPr>
          <w:rFonts w:hint="eastAsia" w:ascii="仿宋_GB2312" w:hAnsi="仿宋_GB2312" w:eastAsia="仿宋_GB2312" w:cs="仿宋_GB2312"/>
          <w:kern w:val="2"/>
          <w:sz w:val="32"/>
          <w:szCs w:val="32"/>
          <w:lang w:val="en-US" w:eastAsia="zh-CN"/>
        </w:rPr>
        <w:t xml:space="preserve"> </w:t>
      </w:r>
      <w:r>
        <w:rPr>
          <w:rFonts w:hint="eastAsia" w:ascii="仿宋_GB2312" w:hAnsi="仿宋_GB2312" w:eastAsia="仿宋_GB2312" w:cs="仿宋_GB2312"/>
          <w:kern w:val="2"/>
          <w:sz w:val="32"/>
          <w:szCs w:val="32"/>
        </w:rPr>
        <w:t>根据本规范要求，企业应结合实际制定中药煎药操作规程、管理人员和操作人员岗位职责、安全、卫生制度和主要加工设备的标准操作规程（SOP）。主要管理制度和操作规程应在煎药场所醒目处张贴，明确中药煎药服务（包括调剂、浸泡、煎煮、包装、发放等）各加工环节的岗位职责和工艺操作要求，组织员工培训、考核并严格执行。</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第三十五条　</w:t>
      </w:r>
      <w:r>
        <w:rPr>
          <w:rFonts w:hint="eastAsia" w:ascii="仿宋_GB2312" w:hAnsi="仿宋_GB2312" w:eastAsia="仿宋_GB2312" w:cs="仿宋_GB2312"/>
          <w:kern w:val="2"/>
          <w:sz w:val="32"/>
          <w:szCs w:val="32"/>
        </w:rPr>
        <w:t>完善中药煎药服务信息传递管理，提升中药煎药全过程的质量管控，建立健全中药煎药质量信息化管理的追溯机制。医疗机构实行电子处方的，企业应积极创造条件与医疗机构实现委托加工处方的信息化传递。手工处方转化为电子处方过程中，应执行复核制度。</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hint="eastAsia" w:ascii="仿宋_GB2312" w:hAnsi="仿宋_GB2312" w:eastAsia="仿宋_GB2312" w:cs="仿宋_GB2312"/>
          <w:kern w:val="2"/>
          <w:sz w:val="32"/>
          <w:szCs w:val="32"/>
        </w:rPr>
        <w:t>每张处方应做好编号、登记、编制加工流转单，并随调配和煎药加工全程流转。煎药加工流转单至少应具有以下几项内容：</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hint="eastAsia" w:ascii="仿宋_GB2312" w:hAnsi="仿宋_GB2312" w:eastAsia="仿宋_GB2312" w:cs="仿宋_GB2312"/>
          <w:kern w:val="2"/>
          <w:sz w:val="32"/>
          <w:szCs w:val="32"/>
        </w:rPr>
        <w:t>（一）处方登记编号、加工日期、患者姓名、性别等基本信息；</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（二）遵医嘱对处方功效（解表类药、滋补类药）及先煎后下等特殊药物的分类标注。</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（三）代煎中药的处方剂数和分装袋数；</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（四）处方审核、调配、复核、发放人员的签章；</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（五）中药煎药过程中浸泡、煎煮的起止时间；先煎后下药物的煎煮时间；浸泡、煎煮、包装等环节相关操作人员的签章。</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hint="eastAsia" w:ascii="仿宋_GB2312" w:hAnsi="仿宋_GB2312" w:eastAsia="仿宋_GB2312" w:cs="仿宋_GB2312"/>
          <w:kern w:val="2"/>
          <w:sz w:val="32"/>
          <w:szCs w:val="32"/>
        </w:rPr>
        <w:t>（六）中药煎药完成后交委托方时，收发双方人员的签字。</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第三十六条　</w:t>
      </w:r>
      <w:r>
        <w:rPr>
          <w:rFonts w:hint="eastAsia" w:ascii="仿宋_GB2312" w:hAnsi="仿宋_GB2312" w:eastAsia="仿宋_GB2312" w:cs="仿宋_GB2312"/>
          <w:kern w:val="2"/>
          <w:sz w:val="32"/>
          <w:szCs w:val="32"/>
        </w:rPr>
        <w:t>代煎处方调剂（审核、调配、复核、发放）、浸泡、煎煮、包装、发放各环节的操作人员</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在操作时应认真核对处方和煎药加工流转单的有关内容，及时在有关栏目中做好操作记录并签章</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实行计算机工序实时扫码追溯体系管控的，岗位操作人员工号代码的设定应做到唯一性，做好相关流程电子签章记录。原始记录应做到真实完整、准确有效、可追溯。记录及凭证（含电子记录）至少保存一年，电子记录数据应以安全、可靠的方式存储和备份。            </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第三十七条　</w:t>
      </w:r>
      <w:r>
        <w:rPr>
          <w:rFonts w:hint="eastAsia" w:ascii="仿宋_GB2312" w:hAnsi="仿宋_GB2312" w:eastAsia="仿宋_GB2312" w:cs="仿宋_GB2312"/>
          <w:kern w:val="2"/>
          <w:sz w:val="32"/>
          <w:szCs w:val="32"/>
        </w:rPr>
        <w:t>中药汤剂应由受托企业按药品配送要求送委托医疗机构；因患者需要直接送达本人的，经委托方授权送至指定地点，受托企业应按委托方要求与相关接收人员做好代煎药交接明细并签字确认。装送袋装药液的外包装应能有效防止污染和受压破损；运输工具应密闭洁净，避免高温、挤压，严禁与其他物品混运；需委托快递配送的，快递企业应具有相关经营资质和服务能力，受托企业应与快递企业签订委托协议，明确质量责任和要求，加强跟踪考核和年度评估。</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第三十八条　</w:t>
      </w:r>
      <w:r>
        <w:rPr>
          <w:rFonts w:hint="eastAsia" w:ascii="仿宋_GB2312" w:hAnsi="仿宋_GB2312" w:eastAsia="仿宋_GB2312" w:cs="仿宋_GB2312"/>
          <w:kern w:val="2"/>
          <w:sz w:val="32"/>
          <w:szCs w:val="32"/>
        </w:rPr>
        <w:t>企业应建立煎药质量管控和评估考核体系，加强煎药加工服务质量的日常考核，做好企业年度自查自评和总结统计工作。对于加工服务过程中发生的投诉建议、不良反应和质量问题应及时分析处理，并按规定报告有关监管部门。</w:t>
      </w:r>
    </w:p>
    <w:p>
      <w:pPr>
        <w:pStyle w:val="9"/>
        <w:keepNext w:val="0"/>
        <w:keepLines w:val="0"/>
        <w:pageBreakBefore w:val="0"/>
        <w:widowControl w:val="0"/>
        <w:kinsoku/>
        <w:wordWrap/>
        <w:overflowPunct/>
        <w:topLinePunct w:val="0"/>
        <w:bidi w:val="0"/>
        <w:spacing w:before="0" w:beforeAutospacing="0" w:after="0" w:afterAutospacing="0" w:line="580" w:lineRule="exact"/>
        <w:ind w:firstLine="643" w:firstLineChars="200"/>
        <w:jc w:val="center"/>
        <w:textAlignment w:val="auto"/>
        <w:outlineLvl w:val="9"/>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bidi w:val="0"/>
        <w:adjustRightInd/>
        <w:snapToGrid/>
        <w:spacing w:after="0" w:line="580" w:lineRule="exact"/>
        <w:jc w:val="center"/>
        <w:textAlignment w:val="auto"/>
        <w:outlineLvl w:val="9"/>
        <w:rPr>
          <w:rFonts w:hint="eastAsia" w:ascii="仿宋_GB2312" w:hAnsi="仿宋_GB2312" w:eastAsia="仿宋_GB2312" w:cs="仿宋_GB2312"/>
          <w:b/>
          <w:bCs/>
          <w:sz w:val="32"/>
          <w:szCs w:val="32"/>
        </w:rPr>
      </w:pPr>
      <w:r>
        <w:rPr>
          <w:rFonts w:hint="eastAsia" w:ascii="Times New Roman" w:hAnsi="Times New Roman" w:eastAsia="黑体" w:cs="Times New Roman"/>
          <w:color w:val="000000"/>
          <w:kern w:val="2"/>
          <w:sz w:val="32"/>
          <w:szCs w:val="32"/>
        </w:rPr>
        <w:t>第七章</w:t>
      </w:r>
      <w:r>
        <w:rPr>
          <w:rFonts w:hint="eastAsia" w:ascii="Times New Roman" w:hAnsi="Times New Roman" w:eastAsia="黑体" w:cs="Times New Roman"/>
          <w:color w:val="000000"/>
          <w:kern w:val="2"/>
          <w:sz w:val="32"/>
          <w:szCs w:val="32"/>
          <w:lang w:eastAsia="zh-CN"/>
        </w:rPr>
        <w:t>　</w:t>
      </w:r>
      <w:r>
        <w:rPr>
          <w:rFonts w:hint="eastAsia" w:ascii="Times New Roman" w:hAnsi="Times New Roman" w:eastAsia="黑体" w:cs="Times New Roman"/>
          <w:color w:val="000000"/>
          <w:kern w:val="2"/>
          <w:sz w:val="32"/>
          <w:szCs w:val="32"/>
        </w:rPr>
        <w:t>中药煎药企业资质评估</w:t>
      </w:r>
      <w:r>
        <w:rPr>
          <w:rFonts w:hint="eastAsia" w:ascii="Times New Roman" w:hAnsi="Times New Roman" w:eastAsia="黑体" w:cs="Times New Roman"/>
          <w:color w:val="000000"/>
          <w:kern w:val="2"/>
          <w:sz w:val="32"/>
          <w:szCs w:val="32"/>
          <w:lang w:val="en-US" w:eastAsia="zh-CN"/>
        </w:rPr>
        <w:t>与监督管理</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　　第三十九条　</w:t>
      </w:r>
      <w:r>
        <w:rPr>
          <w:rFonts w:hint="eastAsia" w:ascii="仿宋_GB2312" w:hAnsi="仿宋_GB2312" w:eastAsia="仿宋_GB2312" w:cs="仿宋_GB2312"/>
          <w:kern w:val="2"/>
          <w:sz w:val="32"/>
          <w:szCs w:val="32"/>
        </w:rPr>
        <w:t>根据本规范制定《医疗机构委托中药煎药资质企业评估检查管理办法》。申请企业依据本规范要求进行自查达标后，向</w:t>
      </w:r>
      <w:r>
        <w:rPr>
          <w:rFonts w:hint="eastAsia" w:ascii="仿宋_GB2312" w:hAnsi="仿宋_GB2312" w:eastAsia="仿宋_GB2312" w:cs="仿宋_GB2312"/>
          <w:kern w:val="2"/>
          <w:sz w:val="32"/>
          <w:szCs w:val="32"/>
          <w:lang w:val="en-US" w:eastAsia="zh-CN"/>
        </w:rPr>
        <w:t>主管部门</w:t>
      </w:r>
      <w:r>
        <w:rPr>
          <w:rFonts w:hint="eastAsia" w:ascii="仿宋_GB2312" w:hAnsi="仿宋_GB2312" w:eastAsia="仿宋_GB2312" w:cs="仿宋_GB2312"/>
          <w:kern w:val="2"/>
          <w:sz w:val="32"/>
          <w:szCs w:val="32"/>
        </w:rPr>
        <w:t>提出申请，并提交相应材料。</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spacing w:val="-6"/>
          <w:kern w:val="2"/>
          <w:sz w:val="32"/>
          <w:szCs w:val="32"/>
        </w:rPr>
      </w:pPr>
      <w:r>
        <w:rPr>
          <w:rFonts w:hint="eastAsia" w:ascii="Times New Roman" w:hAnsi="Times New Roman" w:eastAsia="黑体" w:cs="Times New Roman"/>
          <w:color w:val="000000"/>
          <w:kern w:val="2"/>
          <w:sz w:val="32"/>
          <w:szCs w:val="32"/>
          <w:lang w:val="en-US" w:eastAsia="zh-CN" w:bidi="ar-SA"/>
        </w:rPr>
        <w:t>　　第四十条　</w:t>
      </w:r>
      <w:r>
        <w:rPr>
          <w:rFonts w:hint="eastAsia" w:ascii="仿宋_GB2312" w:hAnsi="仿宋_GB2312" w:eastAsia="仿宋_GB2312" w:cs="仿宋_GB2312"/>
          <w:kern w:val="2"/>
          <w:sz w:val="32"/>
          <w:szCs w:val="32"/>
        </w:rPr>
        <w:t>建立中药煎药资质评估专家库，每次检查随机抽取专家，由主管部门组织联合检查小组根据《医疗机构委托中药煎药资质企业评估检查管理办法》及其检查表内容进行现场评估。对符合要求的，报有关</w:t>
      </w:r>
      <w:r>
        <w:rPr>
          <w:rFonts w:hint="eastAsia" w:ascii="仿宋_GB2312" w:hAnsi="仿宋_GB2312" w:eastAsia="仿宋_GB2312" w:cs="仿宋_GB2312"/>
          <w:spacing w:val="-6"/>
          <w:kern w:val="2"/>
          <w:sz w:val="32"/>
          <w:szCs w:val="32"/>
        </w:rPr>
        <w:t>监管部门备案，并在</w:t>
      </w:r>
      <w:r>
        <w:rPr>
          <w:rFonts w:hint="eastAsia" w:ascii="仿宋_GB2312" w:hAnsi="仿宋_GB2312" w:eastAsia="仿宋_GB2312" w:cs="仿宋_GB2312"/>
          <w:spacing w:val="-6"/>
          <w:kern w:val="2"/>
          <w:sz w:val="32"/>
          <w:szCs w:val="32"/>
          <w:lang w:val="en-US" w:eastAsia="zh-CN"/>
        </w:rPr>
        <w:t>自治区中管局</w:t>
      </w:r>
      <w:r>
        <w:rPr>
          <w:rFonts w:hint="eastAsia" w:ascii="仿宋_GB2312" w:hAnsi="仿宋_GB2312" w:eastAsia="仿宋_GB2312" w:cs="仿宋_GB2312"/>
          <w:spacing w:val="-6"/>
          <w:kern w:val="2"/>
          <w:sz w:val="32"/>
          <w:szCs w:val="32"/>
        </w:rPr>
        <w:t>网站公示。</w:t>
      </w:r>
      <w:r>
        <w:rPr>
          <w:rFonts w:hint="eastAsia" w:ascii="仿宋_GB2312" w:hAnsi="仿宋_GB2312" w:eastAsia="仿宋_GB2312" w:cs="仿宋_GB2312"/>
          <w:spacing w:val="-6"/>
          <w:kern w:val="2"/>
          <w:sz w:val="32"/>
          <w:szCs w:val="32"/>
          <w:lang w:val="en-US" w:eastAsia="zh-CN"/>
        </w:rPr>
        <w:t>备案资质</w:t>
      </w:r>
      <w:r>
        <w:rPr>
          <w:rFonts w:hint="eastAsia" w:ascii="仿宋_GB2312" w:hAnsi="仿宋_GB2312" w:eastAsia="仿宋_GB2312" w:cs="仿宋_GB2312"/>
          <w:spacing w:val="-6"/>
          <w:kern w:val="2"/>
          <w:sz w:val="32"/>
          <w:szCs w:val="32"/>
        </w:rPr>
        <w:t>有效期为三年，企业应在有效期届满三个月前，向</w:t>
      </w:r>
      <w:r>
        <w:rPr>
          <w:rFonts w:hint="eastAsia" w:ascii="仿宋_GB2312" w:hAnsi="仿宋_GB2312" w:eastAsia="仿宋_GB2312" w:cs="仿宋_GB2312"/>
          <w:spacing w:val="-6"/>
          <w:kern w:val="2"/>
          <w:sz w:val="32"/>
          <w:szCs w:val="32"/>
          <w:lang w:val="en-US" w:eastAsia="zh-CN"/>
        </w:rPr>
        <w:t>主管部门</w:t>
      </w:r>
      <w:r>
        <w:rPr>
          <w:rFonts w:hint="eastAsia" w:ascii="仿宋_GB2312" w:hAnsi="仿宋_GB2312" w:eastAsia="仿宋_GB2312" w:cs="仿宋_GB2312"/>
          <w:spacing w:val="-6"/>
          <w:kern w:val="2"/>
          <w:sz w:val="32"/>
          <w:szCs w:val="32"/>
        </w:rPr>
        <w:t>提出再评估申请，并报送有关申请资料。</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b/>
          <w:bCs/>
          <w:sz w:val="32"/>
          <w:szCs w:val="32"/>
        </w:rPr>
      </w:pPr>
      <w:r>
        <w:rPr>
          <w:rFonts w:hint="eastAsia" w:ascii="Times New Roman" w:hAnsi="Times New Roman" w:eastAsia="黑体" w:cs="Times New Roman"/>
          <w:color w:val="000000"/>
          <w:kern w:val="2"/>
          <w:sz w:val="32"/>
          <w:szCs w:val="32"/>
          <w:lang w:val="en-US" w:eastAsia="zh-CN" w:bidi="ar-SA"/>
        </w:rPr>
        <w:t>　　第四十一条　</w:t>
      </w:r>
      <w:r>
        <w:rPr>
          <w:rFonts w:hint="eastAsia" w:ascii="仿宋_GB2312" w:hAnsi="仿宋_GB2312" w:eastAsia="仿宋_GB2312" w:cs="仿宋_GB2312"/>
          <w:kern w:val="2"/>
          <w:sz w:val="32"/>
          <w:szCs w:val="32"/>
        </w:rPr>
        <w:t>加强中药煎药加工质量的常态化管理，健全医疗机构委托煎药资质企业的评估机制。在企业</w:t>
      </w:r>
      <w:r>
        <w:rPr>
          <w:rFonts w:hint="eastAsia" w:ascii="仿宋_GB2312" w:hAnsi="仿宋_GB2312" w:eastAsia="仿宋_GB2312" w:cs="仿宋_GB2312"/>
          <w:kern w:val="2"/>
          <w:sz w:val="32"/>
          <w:szCs w:val="32"/>
          <w:lang w:val="en-US" w:eastAsia="zh-CN"/>
        </w:rPr>
        <w:t>备案</w:t>
      </w:r>
      <w:r>
        <w:rPr>
          <w:rFonts w:hint="eastAsia" w:ascii="仿宋_GB2312" w:hAnsi="仿宋_GB2312" w:eastAsia="仿宋_GB2312" w:cs="仿宋_GB2312"/>
          <w:kern w:val="2"/>
          <w:sz w:val="32"/>
          <w:szCs w:val="32"/>
        </w:rPr>
        <w:t>有效期期间，企业应定期开展自查评估，并由</w:t>
      </w:r>
      <w:r>
        <w:rPr>
          <w:rFonts w:hint="eastAsia" w:ascii="仿宋_GB2312" w:hAnsi="仿宋_GB2312" w:eastAsia="仿宋_GB2312" w:cs="仿宋_GB2312"/>
          <w:kern w:val="2"/>
          <w:sz w:val="32"/>
          <w:szCs w:val="32"/>
          <w:lang w:val="en-US" w:eastAsia="zh-CN"/>
        </w:rPr>
        <w:t>主管部门</w:t>
      </w:r>
      <w:r>
        <w:rPr>
          <w:rFonts w:hint="eastAsia" w:ascii="仿宋_GB2312" w:hAnsi="仿宋_GB2312" w:eastAsia="仿宋_GB2312" w:cs="仿宋_GB2312"/>
          <w:kern w:val="2"/>
          <w:sz w:val="32"/>
          <w:szCs w:val="32"/>
        </w:rPr>
        <w:t>组织联合检查小组，对相关企业进行年度检查和不定期检查。检查中发现企业有不符合《规范》有关条款的应及时提出整改要求，凡企业整改不力，或发生严重质量安全事故，或有严重违法违规行为的，除上报相关监管部门和医疗机构外，收回企业</w:t>
      </w:r>
      <w:r>
        <w:rPr>
          <w:rFonts w:hint="eastAsia" w:ascii="仿宋_GB2312" w:hAnsi="仿宋_GB2312" w:eastAsia="仿宋_GB2312" w:cs="仿宋_GB2312"/>
          <w:kern w:val="2"/>
          <w:sz w:val="32"/>
          <w:szCs w:val="32"/>
          <w:lang w:val="en-US" w:eastAsia="zh-CN"/>
        </w:rPr>
        <w:t>备案资质</w:t>
      </w:r>
      <w:r>
        <w:rPr>
          <w:rFonts w:hint="eastAsia" w:ascii="仿宋_GB2312" w:hAnsi="仿宋_GB2312" w:eastAsia="仿宋_GB2312" w:cs="仿宋_GB2312"/>
          <w:kern w:val="2"/>
          <w:sz w:val="32"/>
          <w:szCs w:val="32"/>
        </w:rPr>
        <w:t>，在</w:t>
      </w:r>
      <w:r>
        <w:rPr>
          <w:rFonts w:hint="eastAsia" w:ascii="仿宋_GB2312" w:hAnsi="仿宋_GB2312" w:eastAsia="仿宋_GB2312" w:cs="仿宋_GB2312"/>
          <w:kern w:val="2"/>
          <w:sz w:val="32"/>
          <w:szCs w:val="32"/>
          <w:lang w:val="en-US" w:eastAsia="zh-CN"/>
        </w:rPr>
        <w:t>自治区中管局</w:t>
      </w:r>
      <w:r>
        <w:rPr>
          <w:rFonts w:hint="eastAsia" w:ascii="仿宋_GB2312" w:hAnsi="仿宋_GB2312" w:eastAsia="仿宋_GB2312" w:cs="仿宋_GB2312"/>
          <w:kern w:val="2"/>
          <w:sz w:val="32"/>
          <w:szCs w:val="32"/>
        </w:rPr>
        <w:t>网上予以公示。凡收回</w:t>
      </w:r>
      <w:r>
        <w:rPr>
          <w:rFonts w:hint="eastAsia" w:ascii="仿宋_GB2312" w:hAnsi="仿宋_GB2312" w:eastAsia="仿宋_GB2312" w:cs="仿宋_GB2312"/>
          <w:kern w:val="2"/>
          <w:sz w:val="32"/>
          <w:szCs w:val="32"/>
          <w:lang w:val="en-US" w:eastAsia="zh-CN"/>
        </w:rPr>
        <w:t>备案资质</w:t>
      </w:r>
      <w:r>
        <w:rPr>
          <w:rFonts w:hint="eastAsia" w:ascii="仿宋_GB2312" w:hAnsi="仿宋_GB2312" w:eastAsia="仿宋_GB2312" w:cs="仿宋_GB2312"/>
          <w:kern w:val="2"/>
          <w:sz w:val="32"/>
          <w:szCs w:val="32"/>
        </w:rPr>
        <w:t>的企业，一年后方可重新申请。</w:t>
      </w:r>
    </w:p>
    <w:p>
      <w:pPr>
        <w:pStyle w:val="9"/>
        <w:keepNext w:val="0"/>
        <w:keepLines w:val="0"/>
        <w:pageBreakBefore w:val="0"/>
        <w:widowControl w:val="0"/>
        <w:kinsoku/>
        <w:wordWrap/>
        <w:overflowPunct/>
        <w:topLinePunct w:val="0"/>
        <w:bidi w:val="0"/>
        <w:spacing w:before="0" w:beforeAutospacing="0" w:after="0" w:afterAutospacing="0" w:line="580" w:lineRule="exact"/>
        <w:ind w:firstLine="643" w:firstLineChars="200"/>
        <w:jc w:val="center"/>
        <w:textAlignment w:val="auto"/>
        <w:outlineLvl w:val="9"/>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bidi w:val="0"/>
        <w:adjustRightInd/>
        <w:snapToGrid/>
        <w:spacing w:after="0" w:line="580" w:lineRule="exact"/>
        <w:jc w:val="center"/>
        <w:textAlignment w:val="auto"/>
        <w:outlineLvl w:val="9"/>
        <w:rPr>
          <w:rFonts w:hint="eastAsia" w:ascii="仿宋_GB2312" w:hAnsi="仿宋_GB2312" w:eastAsia="仿宋_GB2312" w:cs="仿宋_GB2312"/>
          <w:sz w:val="32"/>
          <w:szCs w:val="32"/>
        </w:rPr>
      </w:pPr>
      <w:r>
        <w:rPr>
          <w:rFonts w:hint="eastAsia" w:ascii="Times New Roman" w:hAnsi="Times New Roman" w:eastAsia="黑体" w:cs="Times New Roman"/>
          <w:color w:val="000000"/>
          <w:kern w:val="2"/>
          <w:sz w:val="32"/>
          <w:szCs w:val="32"/>
        </w:rPr>
        <w:t>第八章</w:t>
      </w:r>
      <w:r>
        <w:rPr>
          <w:rFonts w:hint="eastAsia" w:ascii="Times New Roman" w:hAnsi="Times New Roman" w:eastAsia="黑体" w:cs="Times New Roman"/>
          <w:color w:val="000000"/>
          <w:kern w:val="2"/>
          <w:sz w:val="32"/>
          <w:szCs w:val="32"/>
          <w:lang w:eastAsia="zh-CN"/>
        </w:rPr>
        <w:t>　</w:t>
      </w:r>
      <w:r>
        <w:rPr>
          <w:rFonts w:hint="eastAsia" w:ascii="Times New Roman" w:hAnsi="Times New Roman" w:eastAsia="黑体" w:cs="Times New Roman"/>
          <w:color w:val="000000"/>
          <w:kern w:val="2"/>
          <w:sz w:val="32"/>
          <w:szCs w:val="32"/>
        </w:rPr>
        <w:t>附</w:t>
      </w:r>
      <w:r>
        <w:rPr>
          <w:rFonts w:hint="eastAsia" w:ascii="Times New Roman" w:hAnsi="Times New Roman" w:eastAsia="黑体" w:cs="Times New Roman"/>
          <w:color w:val="000000"/>
          <w:kern w:val="2"/>
          <w:sz w:val="32"/>
          <w:szCs w:val="32"/>
          <w:lang w:eastAsia="zh-CN"/>
        </w:rPr>
        <w:t>　</w:t>
      </w:r>
      <w:r>
        <w:rPr>
          <w:rFonts w:hint="eastAsia" w:ascii="Times New Roman" w:hAnsi="Times New Roman" w:eastAsia="黑体" w:cs="Times New Roman"/>
          <w:color w:val="000000"/>
          <w:kern w:val="2"/>
          <w:sz w:val="32"/>
          <w:szCs w:val="32"/>
        </w:rPr>
        <w:t>则</w:t>
      </w:r>
    </w:p>
    <w:p>
      <w:pPr>
        <w:pStyle w:val="9"/>
        <w:keepNext w:val="0"/>
        <w:keepLines w:val="0"/>
        <w:pageBreakBefore w:val="0"/>
        <w:widowControl w:val="0"/>
        <w:kinsoku/>
        <w:wordWrap/>
        <w:overflowPunct/>
        <w:topLinePunct w:val="0"/>
        <w:bidi w:val="0"/>
        <w:spacing w:before="0" w:beforeAutospacing="0" w:after="0" w:afterAutospacing="0" w:line="58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Times New Roman" w:hAnsi="Times New Roman" w:eastAsia="黑体" w:cs="Times New Roman"/>
          <w:color w:val="000000"/>
          <w:kern w:val="2"/>
          <w:sz w:val="32"/>
          <w:szCs w:val="32"/>
          <w:lang w:val="en-US" w:eastAsia="zh-CN" w:bidi="ar-SA"/>
        </w:rPr>
        <w:t>第四十二条</w:t>
      </w:r>
      <w:r>
        <w:rPr>
          <w:rStyle w:val="17"/>
          <w:rFonts w:hint="eastAsia" w:ascii="仿宋_GB2312" w:hAnsi="仿宋_GB2312" w:eastAsia="仿宋_GB2312" w:cs="仿宋_GB2312"/>
          <w:sz w:val="32"/>
          <w:szCs w:val="32"/>
        </w:rPr>
        <w:t> </w:t>
      </w:r>
      <w:r>
        <w:rPr>
          <w:rFonts w:hint="eastAsia" w:ascii="仿宋_GB2312" w:hAnsi="仿宋_GB2312" w:eastAsia="仿宋_GB2312" w:cs="仿宋_GB2312"/>
          <w:kern w:val="2"/>
          <w:sz w:val="32"/>
          <w:szCs w:val="32"/>
        </w:rPr>
        <w:t>本规范由</w:t>
      </w:r>
      <w:r>
        <w:rPr>
          <w:rFonts w:hint="eastAsia" w:ascii="仿宋_GB2312" w:hAnsi="仿宋_GB2312" w:eastAsia="仿宋_GB2312" w:cs="仿宋_GB2312"/>
          <w:kern w:val="2"/>
          <w:sz w:val="32"/>
          <w:szCs w:val="32"/>
          <w:lang w:val="en-US" w:eastAsia="zh-CN"/>
        </w:rPr>
        <w:t>自治区中医药局</w:t>
      </w:r>
      <w:r>
        <w:rPr>
          <w:rFonts w:hint="eastAsia" w:ascii="仿宋_GB2312" w:hAnsi="仿宋_GB2312" w:eastAsia="仿宋_GB2312" w:cs="仿宋_GB2312"/>
          <w:kern w:val="2"/>
          <w:sz w:val="32"/>
          <w:szCs w:val="32"/>
        </w:rPr>
        <w:t>负责解释。 </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lang w:eastAsia="zh-CN"/>
        </w:rPr>
      </w:pPr>
      <w:r>
        <w:rPr>
          <w:rFonts w:hint="eastAsia" w:ascii="仿宋_GB2312" w:hAnsi="仿宋_GB2312" w:eastAsia="仿宋_GB2312" w:cs="仿宋_GB2312"/>
          <w:kern w:val="2"/>
          <w:sz w:val="32"/>
          <w:szCs w:val="32"/>
          <w:lang w:eastAsia="zh-CN"/>
        </w:rPr>
        <w:t>　　</w:t>
      </w:r>
    </w:p>
    <w:p>
      <w:pPr>
        <w:pStyle w:val="9"/>
        <w:keepNext w:val="0"/>
        <w:keepLines w:val="0"/>
        <w:pageBreakBefore w:val="0"/>
        <w:widowControl w:val="0"/>
        <w:kinsoku/>
        <w:wordWrap/>
        <w:overflowPunct/>
        <w:topLinePunct w:val="0"/>
        <w:bidi w:val="0"/>
        <w:spacing w:before="0" w:beforeAutospacing="0" w:after="0" w:afterAutospacing="0" w:line="580" w:lineRule="exact"/>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hint="eastAsia" w:ascii="仿宋_GB2312" w:hAnsi="仿宋_GB2312" w:eastAsia="仿宋_GB2312" w:cs="仿宋_GB2312"/>
          <w:kern w:val="2"/>
          <w:sz w:val="32"/>
          <w:szCs w:val="32"/>
        </w:rPr>
        <w:t>附件：1.</w:t>
      </w:r>
      <w:r>
        <w:rPr>
          <w:rFonts w:hint="eastAsia" w:ascii="仿宋_GB2312" w:hAnsi="仿宋_GB2312" w:eastAsia="仿宋_GB2312" w:cs="仿宋_GB2312"/>
          <w:kern w:val="2"/>
          <w:sz w:val="32"/>
          <w:szCs w:val="32"/>
          <w:lang w:val="en-US" w:eastAsia="zh-CN"/>
        </w:rPr>
        <w:t>密闭式压力煎药机器煎药操作规程</w:t>
      </w:r>
      <w:r>
        <w:rPr>
          <w:rFonts w:hint="eastAsia" w:ascii="仿宋_GB2312" w:hAnsi="仿宋_GB2312" w:eastAsia="仿宋_GB2312" w:cs="仿宋_GB2312"/>
          <w:kern w:val="2"/>
          <w:sz w:val="32"/>
          <w:szCs w:val="32"/>
        </w:rPr>
        <w:t> </w:t>
      </w:r>
    </w:p>
    <w:p>
      <w:pPr>
        <w:pStyle w:val="9"/>
        <w:keepNext w:val="0"/>
        <w:keepLines w:val="0"/>
        <w:pageBreakBefore w:val="0"/>
        <w:widowControl w:val="0"/>
        <w:kinsoku/>
        <w:wordWrap/>
        <w:overflowPunct/>
        <w:topLinePunct w:val="0"/>
        <w:bidi w:val="0"/>
        <w:spacing w:before="0" w:beforeAutospacing="0" w:after="0" w:afterAutospacing="0" w:line="580" w:lineRule="exact"/>
        <w:ind w:firstLine="1280" w:firstLineChars="4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　2</w:t>
      </w:r>
      <w:r>
        <w:rPr>
          <w:rFonts w:hint="eastAsia" w:ascii="仿宋_GB2312" w:hAnsi="仿宋_GB2312" w:eastAsia="仿宋_GB2312" w:cs="仿宋_GB2312"/>
          <w:kern w:val="2"/>
          <w:sz w:val="32"/>
          <w:szCs w:val="32"/>
        </w:rPr>
        <w:t>.中药代煎质量控制流程图 </w:t>
      </w:r>
    </w:p>
    <w:p>
      <w:pPr>
        <w:pStyle w:val="9"/>
        <w:keepNext w:val="0"/>
        <w:keepLines w:val="0"/>
        <w:pageBreakBefore w:val="0"/>
        <w:widowControl w:val="0"/>
        <w:kinsoku/>
        <w:wordWrap/>
        <w:overflowPunct/>
        <w:topLinePunct w:val="0"/>
        <w:bidi w:val="0"/>
        <w:spacing w:before="0" w:beforeAutospacing="0" w:after="0" w:afterAutospacing="0" w:line="580" w:lineRule="exact"/>
        <w:ind w:firstLine="960" w:firstLineChars="3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　　3</w:t>
      </w:r>
      <w:r>
        <w:rPr>
          <w:rFonts w:hint="eastAsia" w:ascii="仿宋_GB2312" w:hAnsi="仿宋_GB2312" w:eastAsia="仿宋_GB2312" w:cs="仿宋_GB2312"/>
          <w:kern w:val="2"/>
          <w:sz w:val="32"/>
          <w:szCs w:val="32"/>
        </w:rPr>
        <w:t>.中药煎药质量评估检查表 </w:t>
      </w:r>
    </w:p>
    <w:p>
      <w:pPr>
        <w:pStyle w:val="9"/>
        <w:keepNext w:val="0"/>
        <w:keepLines w:val="0"/>
        <w:pageBreakBefore w:val="0"/>
        <w:widowControl w:val="0"/>
        <w:kinsoku/>
        <w:wordWrap/>
        <w:overflowPunct/>
        <w:topLinePunct w:val="0"/>
        <w:bidi w:val="0"/>
        <w:spacing w:before="0" w:beforeAutospacing="0" w:after="0" w:afterAutospacing="0" w:line="580" w:lineRule="exact"/>
        <w:ind w:firstLine="960" w:firstLineChars="3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　　4</w:t>
      </w:r>
      <w:r>
        <w:rPr>
          <w:rFonts w:hint="eastAsia" w:ascii="仿宋_GB2312" w:hAnsi="仿宋_GB2312" w:eastAsia="仿宋_GB2312" w:cs="仿宋_GB2312"/>
          <w:kern w:val="2"/>
          <w:sz w:val="32"/>
          <w:szCs w:val="32"/>
        </w:rPr>
        <w:t>.中药煎药质量控制和监测工作考核表</w:t>
      </w:r>
    </w:p>
    <w:p>
      <w:pPr>
        <w:pStyle w:val="9"/>
        <w:keepNext w:val="0"/>
        <w:keepLines w:val="0"/>
        <w:pageBreakBefore w:val="0"/>
        <w:widowControl w:val="0"/>
        <w:kinsoku/>
        <w:wordWrap/>
        <w:overflowPunct/>
        <w:topLinePunct w:val="0"/>
        <w:bidi w:val="0"/>
        <w:spacing w:before="0" w:beforeAutospacing="0" w:after="0" w:afterAutospacing="0" w:line="580" w:lineRule="exact"/>
        <w:ind w:firstLine="960" w:firstLineChars="300"/>
        <w:jc w:val="both"/>
        <w:textAlignment w:val="auto"/>
        <w:outlineLvl w:val="9"/>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　　5</w:t>
      </w:r>
      <w:r>
        <w:rPr>
          <w:rFonts w:hint="eastAsia" w:ascii="仿宋_GB2312" w:hAnsi="仿宋_GB2312" w:eastAsia="仿宋_GB2312" w:cs="仿宋_GB2312"/>
          <w:kern w:val="2"/>
          <w:sz w:val="32"/>
          <w:szCs w:val="32"/>
        </w:rPr>
        <w:t>.中药饮片质量检查表</w:t>
      </w:r>
      <w:r>
        <w:rPr>
          <w:rFonts w:hint="eastAsia"/>
          <w:kern w:val="2"/>
          <w:sz w:val="32"/>
          <w:szCs w:val="32"/>
        </w:rPr>
        <w:t>  </w:t>
      </w:r>
    </w:p>
    <w:p>
      <w:pPr>
        <w:pStyle w:val="9"/>
        <w:keepNext w:val="0"/>
        <w:keepLines w:val="0"/>
        <w:pageBreakBefore w:val="0"/>
        <w:widowControl w:val="0"/>
        <w:kinsoku/>
        <w:wordWrap/>
        <w:overflowPunct/>
        <w:topLinePunct w:val="0"/>
        <w:bidi w:val="0"/>
        <w:spacing w:before="0" w:beforeAutospacing="0" w:after="0" w:afterAutospacing="0" w:line="580" w:lineRule="exact"/>
        <w:ind w:firstLine="960" w:firstLineChars="3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　　6</w:t>
      </w:r>
      <w:r>
        <w:rPr>
          <w:rFonts w:hint="eastAsia" w:ascii="仿宋_GB2312" w:hAnsi="仿宋_GB2312" w:eastAsia="仿宋_GB2312" w:cs="仿宋_GB2312"/>
          <w:kern w:val="2"/>
          <w:sz w:val="32"/>
          <w:szCs w:val="32"/>
        </w:rPr>
        <w:t>.中药饮片调剂质量检查表</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960" w:firstLineChars="300"/>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　　7</w:t>
      </w:r>
      <w:r>
        <w:rPr>
          <w:rFonts w:hint="eastAsia" w:ascii="仿宋_GB2312" w:hAnsi="仿宋_GB2312" w:eastAsia="仿宋_GB2312" w:cs="仿宋_GB2312"/>
          <w:kern w:val="2"/>
          <w:sz w:val="32"/>
          <w:szCs w:val="32"/>
        </w:rPr>
        <w:t>.附子煎煮规定</w:t>
      </w:r>
    </w:p>
    <w:p>
      <w:pPr>
        <w:pStyle w:val="9"/>
        <w:keepNext w:val="0"/>
        <w:keepLines w:val="0"/>
        <w:pageBreakBefore w:val="0"/>
        <w:widowControl w:val="0"/>
        <w:kinsoku/>
        <w:wordWrap/>
        <w:overflowPunct/>
        <w:topLinePunct w:val="0"/>
        <w:bidi w:val="0"/>
        <w:spacing w:before="0" w:beforeAutospacing="0" w:after="0" w:afterAutospacing="0" w:line="580" w:lineRule="exact"/>
        <w:ind w:left="1597" w:leftChars="435" w:hanging="640" w:hanging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　　8.</w:t>
      </w:r>
      <w:r>
        <w:rPr>
          <w:rFonts w:hint="eastAsia" w:ascii="仿宋_GB2312" w:hAnsi="仿宋_GB2312" w:eastAsia="仿宋_GB2312" w:cs="仿宋_GB2312"/>
          <w:kern w:val="2"/>
          <w:sz w:val="32"/>
          <w:szCs w:val="32"/>
        </w:rPr>
        <w:t>广西中药饮片代煎质量管理规范资质评估现场</w:t>
      </w:r>
    </w:p>
    <w:p>
      <w:pPr>
        <w:pStyle w:val="9"/>
        <w:keepNext w:val="0"/>
        <w:keepLines w:val="0"/>
        <w:pageBreakBefore w:val="0"/>
        <w:widowControl w:val="0"/>
        <w:kinsoku/>
        <w:wordWrap/>
        <w:overflowPunct/>
        <w:topLinePunct w:val="0"/>
        <w:bidi w:val="0"/>
        <w:spacing w:before="0" w:beforeAutospacing="0" w:after="0" w:afterAutospacing="0" w:line="580" w:lineRule="exact"/>
        <w:ind w:left="1597" w:leftChars="435" w:hanging="640" w:hanging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　　　</w:t>
      </w:r>
      <w:r>
        <w:rPr>
          <w:rFonts w:hint="eastAsia" w:ascii="仿宋_GB2312" w:hAnsi="仿宋_GB2312" w:eastAsia="仿宋_GB2312" w:cs="仿宋_GB2312"/>
          <w:kern w:val="2"/>
          <w:sz w:val="32"/>
          <w:szCs w:val="32"/>
        </w:rPr>
        <w:t>检查细则（征求意见稿）</w:t>
      </w:r>
    </w:p>
    <w:p>
      <w:pPr>
        <w:pStyle w:val="3"/>
        <w:rPr>
          <w:rFonts w:hint="eastAsia"/>
        </w:rPr>
      </w:pPr>
    </w:p>
    <w:p>
      <w:pPr>
        <w:rPr>
          <w:rFonts w:hint="eastAsia" w:ascii="仿宋" w:hAnsi="仿宋" w:eastAsia="仿宋"/>
          <w:sz w:val="32"/>
          <w:szCs w:val="32"/>
        </w:rPr>
      </w:pPr>
    </w:p>
    <w:p>
      <w:pPr>
        <w:rPr>
          <w:rFonts w:hint="eastAsia" w:ascii="黑体" w:hAnsi="黑体" w:eastAsia="黑体" w:cs="黑体"/>
          <w:sz w:val="32"/>
          <w:szCs w:val="32"/>
        </w:rPr>
      </w:pPr>
      <w:r>
        <w:rPr>
          <w:rFonts w:hint="eastAsia" w:ascii="黑体" w:hAnsi="黑体" w:eastAsia="黑体" w:cs="黑体"/>
          <w:sz w:val="32"/>
          <w:szCs w:val="32"/>
        </w:rPr>
        <w:t>附件1</w:t>
      </w:r>
    </w:p>
    <w:p>
      <w:pPr>
        <w:widowControl/>
        <w:shd w:val="clear" w:color="auto" w:fill="FFFFFF"/>
        <w:spacing w:line="329" w:lineRule="atLeast"/>
        <w:jc w:val="center"/>
        <w:rPr>
          <w:rFonts w:hint="eastAsia" w:ascii="方正小标宋简体" w:hAnsi="方正小标宋简体" w:eastAsia="方正小标宋简体" w:cs="方正小标宋简体"/>
          <w:b w:val="0"/>
          <w:bCs w:val="0"/>
          <w:color w:val="auto"/>
          <w:kern w:val="0"/>
          <w:sz w:val="44"/>
          <w:szCs w:val="44"/>
        </w:rPr>
      </w:pPr>
      <w:r>
        <w:rPr>
          <w:rFonts w:hint="eastAsia" w:ascii="仿宋_GB2312" w:hAnsi="宋体" w:eastAsia="仿宋_GB2312" w:cs="宋体"/>
          <w:b w:val="0"/>
          <w:bCs w:val="0"/>
          <w:color w:val="444444"/>
          <w:kern w:val="0"/>
          <w:sz w:val="44"/>
          <w:szCs w:val="44"/>
        </w:rPr>
        <w:t> </w:t>
      </w:r>
      <w:bookmarkStart w:id="0" w:name="_Hlk6048253"/>
      <w:r>
        <w:rPr>
          <w:rFonts w:hint="eastAsia" w:ascii="方正小标宋简体" w:hAnsi="方正小标宋简体" w:eastAsia="方正小标宋简体" w:cs="方正小标宋简体"/>
          <w:b w:val="0"/>
          <w:bCs w:val="0"/>
          <w:color w:val="auto"/>
          <w:kern w:val="0"/>
          <w:sz w:val="44"/>
          <w:szCs w:val="44"/>
        </w:rPr>
        <w:t>密闭式压力煎药机器煎药操作规程</w:t>
      </w:r>
      <w:bookmarkEnd w:id="0"/>
    </w:p>
    <w:tbl>
      <w:tblPr>
        <w:tblStyle w:val="10"/>
        <w:tblW w:w="879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879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c>
          <w:tcPr>
            <w:tcW w:w="8792" w:type="dxa"/>
            <w:shd w:val="clear" w:color="auto" w:fill="auto"/>
            <w:vAlign w:val="center"/>
          </w:tcPr>
          <w:p>
            <w:pPr>
              <w:widowControl/>
              <w:numPr>
                <w:ilvl w:val="0"/>
                <w:numId w:val="0"/>
              </w:numPr>
              <w:spacing w:line="320" w:lineRule="atLeast"/>
              <w:jc w:val="both"/>
              <w:rPr>
                <w:rFonts w:hint="eastAsia" w:ascii="黑体" w:hAnsi="黑体" w:eastAsia="黑体" w:cs="黑体"/>
                <w:b w:val="0"/>
                <w:bCs w:val="0"/>
                <w:kern w:val="0"/>
                <w:sz w:val="30"/>
                <w:szCs w:val="30"/>
              </w:rPr>
            </w:pPr>
            <w:r>
              <w:rPr>
                <w:rFonts w:hint="eastAsia" w:ascii="黑体" w:hAnsi="黑体" w:eastAsia="黑体" w:cs="黑体"/>
                <w:b w:val="0"/>
                <w:bCs w:val="0"/>
                <w:kern w:val="0"/>
                <w:sz w:val="30"/>
                <w:szCs w:val="30"/>
                <w:lang w:val="en-US" w:eastAsia="zh-CN"/>
              </w:rPr>
              <w:t>1.工艺流程图</w:t>
            </w:r>
          </w:p>
          <w:p>
            <w:pPr>
              <w:widowControl/>
              <w:numPr>
                <w:ilvl w:val="-1"/>
                <w:numId w:val="0"/>
              </w:numPr>
              <w:spacing w:line="320" w:lineRule="atLeast"/>
              <w:ind w:firstLine="1807" w:firstLineChars="600"/>
              <w:jc w:val="both"/>
              <w:rPr>
                <w:rFonts w:ascii="宋体" w:hAnsi="宋体" w:eastAsia="宋体" w:cs="宋体"/>
                <w:b/>
                <w:bCs/>
                <w:kern w:val="0"/>
                <w:sz w:val="30"/>
                <w:szCs w:val="30"/>
              </w:rPr>
            </w:pPr>
            <w:r>
              <w:rPr>
                <w:rFonts w:hint="eastAsia" w:ascii="宋体" w:hAnsi="宋体" w:eastAsia="宋体" w:cs="宋体"/>
                <w:b/>
                <w:bCs/>
                <w:kern w:val="0"/>
                <w:sz w:val="30"/>
                <w:szCs w:val="30"/>
                <w:lang w:val="en-US" w:eastAsia="zh-CN"/>
              </w:rPr>
              <w:t xml:space="preserve">                 </w:t>
            </w:r>
            <w:r>
              <w:rPr>
                <w:rFonts w:ascii="宋体" w:hAnsi="宋体" w:eastAsia="宋体" w:cs="宋体"/>
                <w:b/>
                <w:bCs/>
                <w:kern w:val="0"/>
                <w:sz w:val="30"/>
                <w:szCs w:val="30"/>
              </w:rPr>
              <w:t>清洗</w:t>
            </w:r>
          </w:p>
          <w:p>
            <w:pPr>
              <w:widowControl/>
              <w:spacing w:line="320" w:lineRule="atLeast"/>
              <w:jc w:val="center"/>
              <w:rPr>
                <w:rFonts w:ascii="宋体" w:hAnsi="宋体" w:eastAsia="宋体" w:cs="宋体"/>
                <w:b/>
                <w:bCs/>
                <w:kern w:val="0"/>
                <w:sz w:val="30"/>
                <w:szCs w:val="30"/>
              </w:rPr>
            </w:pPr>
            <w:r>
              <w:rPr>
                <w:rFonts w:ascii="Tahoma" w:hAnsi="Tahoma" w:eastAsia="宋体" w:cs="Tahoma"/>
                <w:color w:val="444444"/>
                <w:kern w:val="0"/>
                <w:sz w:val="30"/>
                <w:szCs w:val="30"/>
              </w:rPr>
              <w:drawing>
                <wp:inline distT="0" distB="0" distL="0" distR="0">
                  <wp:extent cx="5431790" cy="6720205"/>
                  <wp:effectExtent l="0" t="0" r="16510" b="4445"/>
                  <wp:docPr id="3" name="图片 3" descr="http://www.stcma.cn/uploadfile/2021/0104/202101040906407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http://www.stcma.cn/uploadfile/2021/0104/20210104090640778.png"/>
                          <pic:cNvPicPr>
                            <a:picLocks noChangeAspect="1" noChangeArrowheads="1"/>
                          </pic:cNvPicPr>
                        </pic:nvPicPr>
                        <pic:blipFill>
                          <a:blip r:embed="rId13"/>
                          <a:srcRect/>
                          <a:stretch>
                            <a:fillRect/>
                          </a:stretch>
                        </pic:blipFill>
                        <pic:spPr>
                          <a:xfrm>
                            <a:off x="0" y="0"/>
                            <a:ext cx="5431790" cy="6720205"/>
                          </a:xfrm>
                          <a:prstGeom prst="rect">
                            <a:avLst/>
                          </a:prstGeom>
                          <a:noFill/>
                          <a:ln w="9525">
                            <a:noFill/>
                            <a:miter lim="800000"/>
                            <a:headEnd/>
                            <a:tailEnd/>
                          </a:ln>
                        </pic:spPr>
                      </pic:pic>
                    </a:graphicData>
                  </a:graphic>
                </wp:inline>
              </w:drawing>
            </w:r>
          </w:p>
        </w:tc>
      </w:tr>
    </w:tbl>
    <w:p>
      <w:pPr>
        <w:widowControl/>
        <w:shd w:val="clear" w:color="auto" w:fill="FFFFFF"/>
        <w:spacing w:line="240" w:lineRule="auto"/>
        <w:rPr>
          <w:rFonts w:hint="eastAsia" w:ascii="黑体" w:hAnsi="黑体" w:eastAsia="黑体" w:cs="黑体"/>
          <w:color w:val="444444"/>
          <w:kern w:val="0"/>
          <w:sz w:val="30"/>
          <w:szCs w:val="30"/>
        </w:rPr>
      </w:pPr>
      <w:r>
        <w:rPr>
          <w:rFonts w:hint="eastAsia" w:ascii="黑体" w:hAnsi="黑体" w:eastAsia="黑体" w:cs="黑体"/>
          <w:b/>
          <w:bCs/>
          <w:color w:val="444444"/>
          <w:kern w:val="0"/>
          <w:sz w:val="30"/>
          <w:szCs w:val="30"/>
        </w:rPr>
        <w:t>2.浸泡</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2.1待煎中药应置入清洁的专用煎药袋，放洁净容器内先行浸泡，浸泡（煎煮）应当使用符合国家卫生标准的饮用水（以40℃以下温水浸泡为宜）。浸泡时间不少于40分钟，浸泡过程中应搅动或挤压药料1-2次，使之浸泡充分。有特殊要求（先煎、后下、烊化、另煎等）的药物另行处理。</w:t>
      </w:r>
    </w:p>
    <w:p>
      <w:pPr>
        <w:widowControl/>
        <w:shd w:val="clear" w:color="auto" w:fill="FFFFFF"/>
        <w:spacing w:line="449" w:lineRule="atLeast"/>
        <w:ind w:firstLine="562"/>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2.2浸泡（煎药)的用水量应为饮片吸水量、煎煮过程中蒸发量及煎煮后所需药液量的总和。花、草类和解表药等可酌减水量，吸水性强或煎煮时间较长的调理滋补药等应适当增加水量。经验估量一般以浸没药袋2-5cm为宜，或按所需药液总量的1.2-1.5倍量加水。浸泡容器应与药物量匹配，保证药物完全被水浸没。</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2.3煎药袋应选用安全无毒材料制作，及时清洗，定期更换。</w:t>
      </w:r>
    </w:p>
    <w:p>
      <w:pPr>
        <w:widowControl/>
        <w:shd w:val="clear" w:color="auto" w:fill="FFFFFF"/>
        <w:spacing w:line="449" w:lineRule="atLeast"/>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3.煎煮</w:t>
      </w:r>
    </w:p>
    <w:p>
      <w:pPr>
        <w:widowControl/>
        <w:shd w:val="clear" w:color="auto" w:fill="FFFFFF"/>
        <w:spacing w:line="449" w:lineRule="atLeast"/>
        <w:ind w:firstLine="549"/>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3.1将浸泡后的煎药袋连同浸出药液置入煎药机内，煎药机容积应与煎煮药物和水量匹配，既要保证药物压置于液面以下，也不应超过釜体容积的3/4～4/5液面。煎煮温度和时间根据所煎中药的功效和药性确定，按煎药加工流转单上处方功效的分类标注操作。</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3.1.1解表类药：温度105℃-110℃（压力&lt;0.1Mpa），煮沸后煎15-20分钟。</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3.1.2一般治疗药：温度110℃-115℃（压力&lt;0.1Mpa），煮沸后煎20-30分钟。</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3.1.3调理滋补药：温度115℃-120℃（压力&lt;0.1Mpa），煮沸后煎40-60分钟。</w:t>
      </w:r>
    </w:p>
    <w:p>
      <w:pPr>
        <w:widowControl/>
        <w:shd w:val="clear" w:color="auto" w:fill="FFFFFF"/>
        <w:spacing w:before="50"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3.1.4药料要充分煮透，煎煮过程中应对药物进行不少于2次的挤压放松，提高煎出率。</w:t>
      </w:r>
    </w:p>
    <w:p>
      <w:pPr>
        <w:widowControl/>
        <w:shd w:val="clear" w:color="auto" w:fill="FFFFFF"/>
        <w:spacing w:line="449" w:lineRule="atLeast"/>
        <w:ind w:firstLine="549"/>
        <w:jc w:val="left"/>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3.2煎药剂量根据儿童和成人分别确定。一般儿童每剂100-300毫升，成人每剂300-400毫升，每剂按两份等量分装。医师处方对剂量另有要求的应遵医嘱。</w:t>
      </w:r>
    </w:p>
    <w:p>
      <w:pPr>
        <w:widowControl/>
        <w:shd w:val="clear" w:color="auto" w:fill="FFFFFF"/>
        <w:spacing w:line="449" w:lineRule="atLeast"/>
        <w:ind w:firstLine="546"/>
        <w:jc w:val="left"/>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3.3凡有先煎、后下、包煎、另煎、烊化、煎汤代水等特殊要求的，应当按规定或医嘱操作并作好原始操作记录。</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3.3.1先煎：先煎药物一般应煮沸煎15-30分钟后，再与其它药物同煎。除要求先煎时间较长的药物外，使用压力机器煎煮的先煎药物可与其他药物同煎。</w:t>
      </w:r>
    </w:p>
    <w:p>
      <w:pPr>
        <w:widowControl/>
        <w:shd w:val="clear" w:color="auto" w:fill="FFFFFF"/>
        <w:spacing w:line="449" w:lineRule="atLeast"/>
        <w:ind w:firstLine="280"/>
        <w:jc w:val="left"/>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3.3.2后下：药物应浸润后再煎煮。将煎好的药汁注入液体包装机加热煮沸，再加入后下药物煎煮3-5分钟；也可另煎后下药物，将药汁兑入已煎好的药汁。</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3.3.3包煎：将需包煎的中药装入专用包煎袋，扎紧后与其它药物同煎，可分若干小包均匀分布于药物之中同煎。</w:t>
      </w:r>
    </w:p>
    <w:p>
      <w:pPr>
        <w:widowControl/>
        <w:shd w:val="clear" w:color="auto" w:fill="FFFFFF"/>
        <w:spacing w:line="449" w:lineRule="atLeast"/>
        <w:ind w:firstLine="560"/>
        <w:jc w:val="left"/>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3.3.4另煎：根据贵重药材药性的特点确定煎煮时间，用水适量，压榨取汁过滤后兑入已煎好的药汁。贵重药材的药渣应留存，在发药时返还。</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3.3.5烊化：煎好的药汁注入包装机贮液筒后，将要烊化之胶类或粉状类药物置于药汁中加热煮沸，同时不断搅拌，使之溶化即可。</w:t>
      </w:r>
    </w:p>
    <w:p>
      <w:pPr>
        <w:widowControl/>
        <w:shd w:val="clear" w:color="auto" w:fill="FFFFFF"/>
        <w:spacing w:line="449" w:lineRule="atLeast"/>
        <w:ind w:firstLine="560"/>
        <w:jc w:val="left"/>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3.3.6对于煎汤代水、久煎、冲服等其他有特殊煎煮要求的药物，按本规范的有关规定操作。</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3.4密闭式压力煎药机应严格控制压力和温度，防止超压超温、药液外溢、煎干或煮焦。煎干或煮焦的饮片和药液禁止使用。</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3.5煎煮毒性或外用中药的设备应固定专用，并设有药品专有标识。设备器具使用后应及时洗净，并经沸水煮后再用。煎煮有特殊气味、颜色较深的药物，煎煮器具要浸泡清洗，防止串味、串色。</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4.包装</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4.1煎煮达到要求后，压榨放液至液体包装机贮液罐内，适当冷却后进行包装。</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4.2液体包装机分装药液，每剂药液量应符合煎药规范或处方规定的要求，每袋分装剂量应当均匀；煎出药液明显超量时，应加热浓缩至所需剂量后再进行分装。</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4.3包装药液的材料应当符合国家药用级标准，且不易破损；外用药与内服药的包装应严格区分，有红底白字药品专有标识；每个分装袋上都应贴有患者信息的标签。</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4.3每剂煎药结束，应使用流动清水及时洗净煎药机、包装机，并用熟水（净水）清洗包装机储液罐，严防混药和污染；每天煎药完毕后，按规定做好清场和卫生工作。</w:t>
      </w:r>
    </w:p>
    <w:p>
      <w:pPr>
        <w:widowControl/>
        <w:shd w:val="clear" w:color="auto" w:fill="FFFFFF"/>
        <w:spacing w:line="449" w:lineRule="atLeast"/>
        <w:ind w:firstLine="560"/>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5.其他</w:t>
      </w:r>
    </w:p>
    <w:p>
      <w:pPr>
        <w:widowControl/>
        <w:shd w:val="clear" w:color="auto" w:fill="FFFFFF"/>
        <w:spacing w:line="449" w:lineRule="atLeast"/>
        <w:ind w:firstLine="560"/>
        <w:rPr>
          <w:rFonts w:ascii="仿宋" w:hAnsi="仿宋" w:eastAsia="仿宋"/>
          <w:sz w:val="44"/>
          <w:szCs w:val="44"/>
        </w:rPr>
      </w:pPr>
      <w:r>
        <w:rPr>
          <w:rFonts w:hint="eastAsia" w:ascii="仿宋_GB2312" w:hAnsi="仿宋_GB2312" w:eastAsia="仿宋_GB2312" w:cs="仿宋_GB2312"/>
          <w:kern w:val="2"/>
          <w:sz w:val="28"/>
          <w:szCs w:val="28"/>
          <w:lang w:val="en-US" w:eastAsia="zh-CN" w:bidi="ar-SA"/>
        </w:rPr>
        <w:t>本操作规程适用于常用的密闭式压力煎药机，常压煎药机等其他设备应参照本规范和制造商提供的使用说明操作。凡需对机器煎药操作工艺进行改进，企业应对相关设备和改进工艺进行质量验证，形成验证报告和文件，报协会备案。</w:t>
      </w:r>
    </w:p>
    <w:p>
      <w:pPr>
        <w:pStyle w:val="3"/>
        <w:rPr>
          <w:rFonts w:ascii="仿宋" w:hAnsi="仿宋" w:eastAsia="仿宋"/>
          <w:sz w:val="44"/>
          <w:szCs w:val="44"/>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黑体" w:hAnsi="黑体" w:eastAsia="黑体" w:cs="黑体"/>
          <w:sz w:val="32"/>
          <w:szCs w:val="32"/>
        </w:rPr>
      </w:pPr>
      <w:r>
        <w:rPr>
          <w:rFonts w:hint="eastAsia" w:ascii="黑体" w:hAnsi="黑体" w:eastAsia="黑体" w:cs="黑体"/>
          <w:sz w:val="32"/>
          <w:szCs w:val="32"/>
        </w:rPr>
        <w:br w:type="page"/>
      </w:r>
    </w:p>
    <w:p>
      <w:pPr>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2</w:t>
      </w:r>
    </w:p>
    <w:p>
      <w:pPr>
        <w:jc w:val="center"/>
        <w:rPr>
          <w:rFonts w:hint="eastAsia" w:ascii="黑体" w:hAnsi="黑体" w:eastAsia="黑体" w:cs="黑体"/>
          <w:sz w:val="32"/>
          <w:szCs w:val="32"/>
        </w:rPr>
      </w:pPr>
      <w:r>
        <w:rPr>
          <w:rFonts w:hint="eastAsia" w:ascii="方正小标宋简体" w:hAnsi="方正小标宋简体" w:eastAsia="方正小标宋简体" w:cs="方正小标宋简体"/>
          <w:sz w:val="44"/>
          <w:szCs w:val="44"/>
        </w:rPr>
        <w:t>中药代煎质量控制流程图</w:t>
      </w:r>
    </w:p>
    <w:p>
      <w:pPr>
        <w:jc w:val="center"/>
        <w:rPr>
          <w:rFonts w:hint="eastAsia" w:ascii="方正小标宋简体" w:hAnsi="方正小标宋简体" w:eastAsia="方正小标宋简体" w:cs="方正小标宋简体"/>
          <w:sz w:val="44"/>
          <w:szCs w:val="44"/>
        </w:rPr>
      </w:pPr>
      <w:r>
        <w:rPr>
          <w:rFonts w:ascii="仿宋" w:hAnsi="仿宋" w:eastAsia="仿宋"/>
          <w:sz w:val="44"/>
          <w:szCs w:val="44"/>
        </w:rPr>
        <w:drawing>
          <wp:inline distT="0" distB="0" distL="0" distR="0">
            <wp:extent cx="6143625" cy="7477125"/>
            <wp:effectExtent l="0" t="0" r="9525" b="9525"/>
            <wp:docPr id="10"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8"/>
                    <pic:cNvPicPr>
                      <a:picLocks noChangeAspect="1" noChangeArrowheads="1"/>
                    </pic:cNvPicPr>
                  </pic:nvPicPr>
                  <pic:blipFill>
                    <a:blip r:embed="rId14" cstate="print"/>
                    <a:srcRect/>
                    <a:stretch>
                      <a:fillRect/>
                    </a:stretch>
                  </pic:blipFill>
                  <pic:spPr>
                    <a:xfrm>
                      <a:off x="0" y="0"/>
                      <a:ext cx="6143625" cy="7477125"/>
                    </a:xfrm>
                    <a:prstGeom prst="rect">
                      <a:avLst/>
                    </a:prstGeom>
                    <a:noFill/>
                    <a:ln w="9525">
                      <a:noFill/>
                      <a:miter lim="800000"/>
                      <a:headEnd/>
                      <a:tailEnd/>
                    </a:ln>
                  </pic:spPr>
                </pic:pic>
              </a:graphicData>
            </a:graphic>
          </wp:inline>
        </w:drawing>
      </w:r>
    </w:p>
    <w:p>
      <w:pPr>
        <w:pStyle w:val="2"/>
        <w:rPr>
          <w:rFonts w:hint="eastAsia"/>
        </w:rPr>
        <w:sectPr>
          <w:headerReference r:id="rId7" w:type="default"/>
          <w:footerReference r:id="rId8" w:type="default"/>
          <w:pgSz w:w="11910" w:h="16840"/>
          <w:pgMar w:top="1701" w:right="1417" w:bottom="1417" w:left="1701" w:header="850" w:footer="992" w:gutter="0"/>
          <w:pgNumType w:fmt="decimal"/>
          <w:cols w:space="0" w:num="1"/>
          <w:titlePg/>
          <w:rtlGutter w:val="0"/>
          <w:docGrid w:linePitch="0" w:charSpace="0"/>
        </w:sectPr>
      </w:pPr>
    </w:p>
    <w:p>
      <w:pPr>
        <w:spacing w:before="51"/>
        <w:rPr>
          <w:rFonts w:hint="eastAsia" w:ascii="黑体" w:hAnsi="黑体" w:eastAsia="黑体" w:cs="黑体"/>
          <w:sz w:val="32"/>
        </w:rPr>
      </w:pPr>
      <w:r>
        <w:rPr>
          <w:rFonts w:hint="eastAsia" w:ascii="黑体" w:hAnsi="黑体" w:eastAsia="黑体" w:cs="黑体"/>
          <w:sz w:val="32"/>
        </w:rPr>
        <w:t>附件3</w:t>
      </w:r>
    </w:p>
    <w:p>
      <w:pPr>
        <w:pStyle w:val="19"/>
        <w:jc w:val="center"/>
      </w:pPr>
      <w:r>
        <w:rPr>
          <w:rFonts w:hint="eastAsia" w:ascii="方正小标宋简体" w:hAnsi="方正小标宋简体" w:eastAsia="方正小标宋简体" w:cs="方正小标宋简体"/>
          <w:sz w:val="44"/>
          <w:szCs w:val="44"/>
        </w:rPr>
        <w:t>中药代煎企业煎药质量检查表</w:t>
      </w:r>
    </w:p>
    <w:p>
      <w:pPr>
        <w:pStyle w:val="5"/>
        <w:spacing w:before="7"/>
        <w:rPr>
          <w:sz w:val="22"/>
        </w:rPr>
      </w:pPr>
    </w:p>
    <w:p>
      <w:pPr>
        <w:tabs>
          <w:tab w:val="left" w:pos="3519"/>
        </w:tabs>
        <w:spacing w:before="67"/>
        <w:ind w:left="399"/>
        <w:rPr>
          <w:rFonts w:ascii="Times New Roman" w:eastAsia="Times New Roman"/>
          <w:sz w:val="24"/>
          <w:u w:val="single"/>
        </w:rPr>
      </w:pPr>
      <w:r>
        <w:rPr>
          <w:sz w:val="24"/>
        </w:rPr>
        <w:t>被检查单位：</w:t>
      </w:r>
      <w:r>
        <w:rPr>
          <w:rFonts w:ascii="Times New Roman" w:eastAsia="Times New Roman"/>
          <w:sz w:val="24"/>
          <w:u w:val="single"/>
        </w:rPr>
        <w:t xml:space="preserve"> </w:t>
      </w:r>
      <w:r>
        <w:rPr>
          <w:rFonts w:ascii="Times New Roman" w:eastAsia="Times New Roman"/>
          <w:sz w:val="24"/>
          <w:u w:val="single"/>
        </w:rPr>
        <w:tab/>
      </w:r>
    </w:p>
    <w:tbl>
      <w:tblPr>
        <w:tblStyle w:val="21"/>
        <w:tblW w:w="151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79"/>
        <w:gridCol w:w="4111"/>
        <w:gridCol w:w="1748"/>
        <w:gridCol w:w="4335"/>
        <w:gridCol w:w="1080"/>
        <w:gridCol w:w="880"/>
        <w:gridCol w:w="1714"/>
        <w:gridCol w:w="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blHeader/>
          <w:jc w:val="center"/>
        </w:trPr>
        <w:tc>
          <w:tcPr>
            <w:tcW w:w="5390" w:type="dxa"/>
            <w:gridSpan w:val="2"/>
            <w:vAlign w:val="center"/>
          </w:tcPr>
          <w:p>
            <w:pPr>
              <w:pStyle w:val="20"/>
              <w:keepNext w:val="0"/>
              <w:keepLines w:val="0"/>
              <w:pageBreakBefore w:val="0"/>
              <w:widowControl w:val="0"/>
              <w:kinsoku/>
              <w:wordWrap/>
              <w:overflowPunct/>
              <w:topLinePunct w:val="0"/>
              <w:autoSpaceDE w:val="0"/>
              <w:autoSpaceDN w:val="0"/>
              <w:bidi w:val="0"/>
              <w:adjustRightInd/>
              <w:snapToGrid/>
              <w:spacing w:line="300" w:lineRule="exact"/>
              <w:ind w:left="66" w:leftChars="30" w:right="170"/>
              <w:jc w:val="center"/>
              <w:textAlignment w:val="auto"/>
              <w:outlineLvl w:val="9"/>
              <w:rPr>
                <w:rFonts w:hint="eastAsia" w:ascii="黑体" w:hAnsi="黑体" w:eastAsia="黑体" w:cs="黑体"/>
                <w:sz w:val="21"/>
                <w:szCs w:val="20"/>
              </w:rPr>
            </w:pPr>
            <w:r>
              <w:rPr>
                <w:rFonts w:hint="eastAsia" w:ascii="黑体" w:hAnsi="黑体" w:eastAsia="黑体" w:cs="黑体"/>
                <w:sz w:val="21"/>
                <w:szCs w:val="20"/>
              </w:rPr>
              <w:t>评价指标</w:t>
            </w:r>
          </w:p>
        </w:tc>
        <w:tc>
          <w:tcPr>
            <w:tcW w:w="1748" w:type="dxa"/>
            <w:vAlign w:val="center"/>
          </w:tcPr>
          <w:p>
            <w:pPr>
              <w:pStyle w:val="20"/>
              <w:keepNext w:val="0"/>
              <w:keepLines w:val="0"/>
              <w:pageBreakBefore w:val="0"/>
              <w:widowControl w:val="0"/>
              <w:kinsoku/>
              <w:wordWrap/>
              <w:overflowPunct/>
              <w:topLinePunct w:val="0"/>
              <w:autoSpaceDE w:val="0"/>
              <w:autoSpaceDN w:val="0"/>
              <w:bidi w:val="0"/>
              <w:adjustRightInd/>
              <w:snapToGrid/>
              <w:spacing w:line="300" w:lineRule="exact"/>
              <w:ind w:left="66" w:leftChars="30" w:right="170"/>
              <w:jc w:val="center"/>
              <w:textAlignment w:val="auto"/>
              <w:outlineLvl w:val="9"/>
              <w:rPr>
                <w:rFonts w:hint="eastAsia" w:ascii="黑体" w:hAnsi="黑体" w:eastAsia="黑体" w:cs="黑体"/>
                <w:sz w:val="21"/>
                <w:szCs w:val="20"/>
              </w:rPr>
            </w:pPr>
            <w:r>
              <w:rPr>
                <w:rFonts w:hint="eastAsia" w:ascii="黑体" w:hAnsi="黑体" w:eastAsia="黑体" w:cs="黑体"/>
                <w:sz w:val="21"/>
                <w:szCs w:val="20"/>
              </w:rPr>
              <w:t>评价方法</w:t>
            </w:r>
          </w:p>
        </w:tc>
        <w:tc>
          <w:tcPr>
            <w:tcW w:w="4335" w:type="dxa"/>
            <w:vAlign w:val="center"/>
          </w:tcPr>
          <w:p>
            <w:pPr>
              <w:pStyle w:val="20"/>
              <w:keepNext w:val="0"/>
              <w:keepLines w:val="0"/>
              <w:pageBreakBefore w:val="0"/>
              <w:widowControl w:val="0"/>
              <w:kinsoku/>
              <w:wordWrap/>
              <w:overflowPunct/>
              <w:topLinePunct w:val="0"/>
              <w:autoSpaceDE w:val="0"/>
              <w:autoSpaceDN w:val="0"/>
              <w:bidi w:val="0"/>
              <w:adjustRightInd/>
              <w:snapToGrid/>
              <w:spacing w:line="300" w:lineRule="exact"/>
              <w:ind w:left="66" w:leftChars="30" w:right="170"/>
              <w:jc w:val="center"/>
              <w:textAlignment w:val="auto"/>
              <w:outlineLvl w:val="9"/>
              <w:rPr>
                <w:rFonts w:hint="eastAsia" w:ascii="黑体" w:hAnsi="黑体" w:eastAsia="黑体" w:cs="黑体"/>
                <w:sz w:val="21"/>
                <w:szCs w:val="20"/>
              </w:rPr>
            </w:pPr>
            <w:r>
              <w:rPr>
                <w:rFonts w:hint="eastAsia" w:ascii="黑体" w:hAnsi="黑体" w:eastAsia="黑体" w:cs="黑体"/>
                <w:sz w:val="21"/>
                <w:szCs w:val="20"/>
              </w:rPr>
              <w:t>评分细则</w:t>
            </w:r>
          </w:p>
        </w:tc>
        <w:tc>
          <w:tcPr>
            <w:tcW w:w="1080" w:type="dxa"/>
            <w:vAlign w:val="center"/>
          </w:tcPr>
          <w:p>
            <w:pPr>
              <w:pStyle w:val="20"/>
              <w:keepNext w:val="0"/>
              <w:keepLines w:val="0"/>
              <w:pageBreakBefore w:val="0"/>
              <w:widowControl w:val="0"/>
              <w:kinsoku/>
              <w:wordWrap/>
              <w:overflowPunct/>
              <w:topLinePunct w:val="0"/>
              <w:autoSpaceDE w:val="0"/>
              <w:autoSpaceDN w:val="0"/>
              <w:bidi w:val="0"/>
              <w:adjustRightInd/>
              <w:snapToGrid/>
              <w:spacing w:line="300" w:lineRule="exact"/>
              <w:ind w:left="66" w:leftChars="30" w:right="170"/>
              <w:jc w:val="center"/>
              <w:textAlignment w:val="auto"/>
              <w:outlineLvl w:val="9"/>
              <w:rPr>
                <w:rFonts w:hint="eastAsia" w:ascii="黑体" w:hAnsi="黑体" w:eastAsia="黑体" w:cs="黑体"/>
                <w:sz w:val="21"/>
                <w:szCs w:val="20"/>
              </w:rPr>
            </w:pPr>
            <w:r>
              <w:rPr>
                <w:rFonts w:hint="eastAsia" w:ascii="黑体" w:hAnsi="黑体" w:eastAsia="黑体" w:cs="黑体"/>
                <w:sz w:val="21"/>
                <w:szCs w:val="20"/>
              </w:rPr>
              <w:t>分值</w:t>
            </w:r>
          </w:p>
        </w:tc>
        <w:tc>
          <w:tcPr>
            <w:tcW w:w="880" w:type="dxa"/>
            <w:vAlign w:val="center"/>
          </w:tcPr>
          <w:p>
            <w:pPr>
              <w:pStyle w:val="20"/>
              <w:keepNext w:val="0"/>
              <w:keepLines w:val="0"/>
              <w:pageBreakBefore w:val="0"/>
              <w:widowControl w:val="0"/>
              <w:kinsoku/>
              <w:wordWrap/>
              <w:overflowPunct/>
              <w:topLinePunct w:val="0"/>
              <w:autoSpaceDE w:val="0"/>
              <w:autoSpaceDN w:val="0"/>
              <w:bidi w:val="0"/>
              <w:adjustRightInd/>
              <w:snapToGrid/>
              <w:spacing w:line="300" w:lineRule="exact"/>
              <w:ind w:left="66" w:leftChars="30" w:right="170"/>
              <w:jc w:val="center"/>
              <w:textAlignment w:val="auto"/>
              <w:outlineLvl w:val="9"/>
              <w:rPr>
                <w:rFonts w:hint="eastAsia" w:ascii="黑体" w:hAnsi="黑体" w:eastAsia="黑体" w:cs="黑体"/>
                <w:sz w:val="21"/>
                <w:szCs w:val="20"/>
              </w:rPr>
            </w:pPr>
            <w:r>
              <w:rPr>
                <w:rFonts w:hint="eastAsia" w:ascii="黑体" w:hAnsi="黑体" w:eastAsia="黑体" w:cs="黑体"/>
                <w:sz w:val="21"/>
                <w:szCs w:val="20"/>
              </w:rPr>
              <w:t>实得分</w:t>
            </w:r>
          </w:p>
        </w:tc>
        <w:tc>
          <w:tcPr>
            <w:tcW w:w="1722" w:type="dxa"/>
            <w:gridSpan w:val="2"/>
            <w:vAlign w:val="center"/>
          </w:tcPr>
          <w:p>
            <w:pPr>
              <w:pStyle w:val="20"/>
              <w:keepNext w:val="0"/>
              <w:keepLines w:val="0"/>
              <w:pageBreakBefore w:val="0"/>
              <w:widowControl w:val="0"/>
              <w:kinsoku/>
              <w:wordWrap/>
              <w:overflowPunct/>
              <w:topLinePunct w:val="0"/>
              <w:autoSpaceDE w:val="0"/>
              <w:autoSpaceDN w:val="0"/>
              <w:bidi w:val="0"/>
              <w:adjustRightInd/>
              <w:snapToGrid/>
              <w:spacing w:line="300" w:lineRule="exact"/>
              <w:ind w:left="66" w:leftChars="30" w:right="170"/>
              <w:jc w:val="center"/>
              <w:textAlignment w:val="auto"/>
              <w:outlineLvl w:val="9"/>
              <w:rPr>
                <w:rFonts w:hint="eastAsia" w:ascii="黑体" w:hAnsi="黑体" w:eastAsia="黑体" w:cs="黑体"/>
                <w:sz w:val="21"/>
                <w:szCs w:val="20"/>
              </w:rPr>
            </w:pPr>
            <w:r>
              <w:rPr>
                <w:rFonts w:hint="eastAsia" w:ascii="黑体" w:hAnsi="黑体" w:eastAsia="黑体" w:cs="黑体"/>
                <w:sz w:val="21"/>
                <w:szCs w:val="20"/>
              </w:rPr>
              <w:t>扣分原因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4" w:hRule="atLeast"/>
          <w:jc w:val="center"/>
        </w:trPr>
        <w:tc>
          <w:tcPr>
            <w:tcW w:w="1279" w:type="dxa"/>
            <w:vMerge w:val="restart"/>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1人员</w:t>
            </w: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资质</w:t>
            </w: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（22分）</w:t>
            </w: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w w:val="99"/>
                <w:sz w:val="21"/>
                <w:szCs w:val="20"/>
              </w:rPr>
              <w:t>1</w:t>
            </w:r>
            <w:r>
              <w:rPr>
                <w:rFonts w:hint="eastAsia" w:ascii="仿宋_GB2312" w:hAnsi="仿宋_GB2312" w:eastAsia="仿宋_GB2312" w:cs="仿宋_GB2312"/>
                <w:w w:val="49"/>
                <w:sz w:val="21"/>
                <w:szCs w:val="20"/>
              </w:rPr>
              <w:t>.</w:t>
            </w:r>
            <w:r>
              <w:rPr>
                <w:rFonts w:hint="eastAsia" w:ascii="仿宋_GB2312" w:hAnsi="仿宋_GB2312" w:eastAsia="仿宋_GB2312" w:cs="仿宋_GB2312"/>
                <w:w w:val="99"/>
                <w:sz w:val="21"/>
                <w:szCs w:val="20"/>
              </w:rPr>
              <w:t>1</w:t>
            </w:r>
            <w:r>
              <w:rPr>
                <w:rFonts w:hint="eastAsia" w:ascii="仿宋_GB2312" w:hAnsi="仿宋_GB2312" w:eastAsia="仿宋_GB2312" w:cs="仿宋_GB2312"/>
                <w:sz w:val="21"/>
                <w:szCs w:val="20"/>
              </w:rPr>
              <w:t xml:space="preserve"> 企业煎药部门应有药学或中药师担任质量负责人。</w:t>
            </w:r>
          </w:p>
        </w:tc>
        <w:tc>
          <w:tcPr>
            <w:tcW w:w="1748"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查阅相关资料。</w:t>
            </w: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无负责人，不得分；条件不符合， 扣 2 分。</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w w:val="99"/>
                <w:sz w:val="21"/>
                <w:szCs w:val="20"/>
              </w:rPr>
              <w:t>3</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0"/>
                <w:szCs w:val="20"/>
              </w:rPr>
            </w:pPr>
          </w:p>
        </w:tc>
        <w:tc>
          <w:tcPr>
            <w:tcW w:w="1722" w:type="dxa"/>
            <w:gridSpan w:val="2"/>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6" w:hRule="atLeast"/>
          <w:jc w:val="center"/>
        </w:trPr>
        <w:tc>
          <w:tcPr>
            <w:tcW w:w="1279" w:type="dxa"/>
            <w:vMerge w:val="continue"/>
            <w:tcBorders>
              <w:top w:val="nil"/>
            </w:tcBorders>
          </w:tcPr>
          <w:p>
            <w:pPr>
              <w:keepNext w:val="0"/>
              <w:keepLines w:val="0"/>
              <w:pageBreakBefore w:val="0"/>
              <w:kinsoku/>
              <w:wordWrap/>
              <w:overflowPunct/>
              <w:topLinePunct w:val="0"/>
              <w:bidi w:val="0"/>
              <w:spacing w:after="0" w:line="300" w:lineRule="exact"/>
              <w:ind w:left="66" w:leftChars="30" w:right="170"/>
              <w:textAlignment w:val="auto"/>
              <w:outlineLvl w:val="9"/>
              <w:rPr>
                <w:rFonts w:hint="eastAsia" w:ascii="仿宋_GB2312" w:hAnsi="仿宋_GB2312" w:eastAsia="仿宋_GB2312" w:cs="仿宋_GB2312"/>
                <w:sz w:val="2"/>
                <w:szCs w:val="2"/>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1.2</w:t>
            </w:r>
            <w:r>
              <w:rPr>
                <w:rFonts w:hint="eastAsia" w:ascii="仿宋_GB2312" w:hAnsi="仿宋_GB2312" w:eastAsia="仿宋_GB2312" w:cs="仿宋_GB2312"/>
                <w:spacing w:val="-8"/>
                <w:sz w:val="21"/>
                <w:szCs w:val="20"/>
              </w:rPr>
              <w:t xml:space="preserve"> 煎药员应为经过委托代煎的医院或广西中药药事质控中心</w:t>
            </w:r>
            <w:r>
              <w:rPr>
                <w:rFonts w:hint="eastAsia" w:ascii="仿宋_GB2312" w:hAnsi="仿宋_GB2312" w:eastAsia="仿宋_GB2312" w:cs="仿宋_GB2312"/>
                <w:spacing w:val="8"/>
                <w:sz w:val="21"/>
                <w:szCs w:val="20"/>
              </w:rPr>
              <w:t>组织的中药煎药相关知识和技能培训并考核合格后</w:t>
            </w:r>
          </w:p>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方可从事煎药工作，持证上岗。</w:t>
            </w:r>
          </w:p>
        </w:tc>
        <w:tc>
          <w:tcPr>
            <w:tcW w:w="1748"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查阅相关资料，并实地考查。</w:t>
            </w: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pacing w:val="-8"/>
                <w:sz w:val="21"/>
                <w:szCs w:val="20"/>
              </w:rPr>
              <w:t xml:space="preserve">条件不符合，每人扣 </w:t>
            </w:r>
            <w:r>
              <w:rPr>
                <w:rFonts w:hint="eastAsia" w:ascii="仿宋_GB2312" w:hAnsi="仿宋_GB2312" w:eastAsia="仿宋_GB2312" w:cs="仿宋_GB2312"/>
                <w:sz w:val="21"/>
                <w:szCs w:val="20"/>
              </w:rPr>
              <w:t>1</w:t>
            </w:r>
            <w:r>
              <w:rPr>
                <w:rFonts w:hint="eastAsia" w:ascii="仿宋_GB2312" w:hAnsi="仿宋_GB2312" w:eastAsia="仿宋_GB2312" w:cs="仿宋_GB2312"/>
                <w:spacing w:val="-14"/>
                <w:sz w:val="21"/>
                <w:szCs w:val="20"/>
              </w:rPr>
              <w:t xml:space="preserve"> 分，扣完为</w:t>
            </w:r>
            <w:r>
              <w:rPr>
                <w:rFonts w:hint="eastAsia" w:ascii="仿宋_GB2312" w:hAnsi="仿宋_GB2312" w:eastAsia="仿宋_GB2312" w:cs="仿宋_GB2312"/>
                <w:sz w:val="21"/>
                <w:szCs w:val="20"/>
              </w:rPr>
              <w:t>止。</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w w:val="99"/>
                <w:sz w:val="21"/>
                <w:szCs w:val="20"/>
              </w:rPr>
              <w:t>6</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0"/>
                <w:szCs w:val="20"/>
              </w:rPr>
            </w:pPr>
          </w:p>
        </w:tc>
        <w:tc>
          <w:tcPr>
            <w:tcW w:w="1722" w:type="dxa"/>
            <w:gridSpan w:val="2"/>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jc w:val="center"/>
        </w:trPr>
        <w:tc>
          <w:tcPr>
            <w:tcW w:w="1279" w:type="dxa"/>
            <w:vMerge w:val="continue"/>
            <w:tcBorders>
              <w:top w:val="nil"/>
            </w:tcBorders>
          </w:tcPr>
          <w:p>
            <w:pPr>
              <w:keepNext w:val="0"/>
              <w:keepLines w:val="0"/>
              <w:pageBreakBefore w:val="0"/>
              <w:kinsoku/>
              <w:wordWrap/>
              <w:overflowPunct/>
              <w:topLinePunct w:val="0"/>
              <w:bidi w:val="0"/>
              <w:spacing w:after="0" w:line="300" w:lineRule="exact"/>
              <w:ind w:left="66" w:leftChars="30" w:right="170"/>
              <w:textAlignment w:val="auto"/>
              <w:outlineLvl w:val="9"/>
              <w:rPr>
                <w:rFonts w:hint="eastAsia" w:ascii="仿宋_GB2312" w:hAnsi="仿宋_GB2312" w:eastAsia="仿宋_GB2312" w:cs="仿宋_GB2312"/>
                <w:sz w:val="2"/>
                <w:szCs w:val="2"/>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1.3 从事煎药人员必须每年参加身体健康检查，持有有效健康证。</w:t>
            </w:r>
          </w:p>
        </w:tc>
        <w:tc>
          <w:tcPr>
            <w:tcW w:w="1748"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查阅相关资料。</w:t>
            </w: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缺一人资料扣 1 分，扣完为止。</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w w:val="99"/>
                <w:sz w:val="21"/>
                <w:szCs w:val="20"/>
              </w:rPr>
              <w:t>5</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0"/>
                <w:szCs w:val="20"/>
              </w:rPr>
            </w:pPr>
          </w:p>
        </w:tc>
        <w:tc>
          <w:tcPr>
            <w:tcW w:w="1722" w:type="dxa"/>
            <w:gridSpan w:val="2"/>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89" w:hRule="atLeast"/>
          <w:jc w:val="center"/>
        </w:trPr>
        <w:tc>
          <w:tcPr>
            <w:tcW w:w="1279" w:type="dxa"/>
            <w:vMerge w:val="continue"/>
            <w:tcBorders>
              <w:top w:val="nil"/>
            </w:tcBorders>
          </w:tcPr>
          <w:p>
            <w:pPr>
              <w:keepNext w:val="0"/>
              <w:keepLines w:val="0"/>
              <w:pageBreakBefore w:val="0"/>
              <w:kinsoku/>
              <w:wordWrap/>
              <w:overflowPunct/>
              <w:topLinePunct w:val="0"/>
              <w:bidi w:val="0"/>
              <w:spacing w:after="0" w:line="300" w:lineRule="exact"/>
              <w:ind w:left="66" w:leftChars="30" w:right="170"/>
              <w:textAlignment w:val="auto"/>
              <w:outlineLvl w:val="9"/>
              <w:rPr>
                <w:rFonts w:hint="eastAsia" w:ascii="仿宋_GB2312" w:hAnsi="仿宋_GB2312" w:eastAsia="仿宋_GB2312" w:cs="仿宋_GB2312"/>
                <w:sz w:val="2"/>
                <w:szCs w:val="2"/>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1.4 企业代煎中药处方的调配过程中，审核、调配与复核人员的资质， 应当符合药事管理的相关要求。</w:t>
            </w:r>
          </w:p>
        </w:tc>
        <w:tc>
          <w:tcPr>
            <w:tcW w:w="1748"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查阅相关资料，并实地考查。</w:t>
            </w: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pacing w:val="12"/>
                <w:sz w:val="21"/>
                <w:szCs w:val="20"/>
              </w:rPr>
              <w:t>审核应由执业中药师或主管药师资</w:t>
            </w:r>
            <w:r>
              <w:rPr>
                <w:rFonts w:hint="eastAsia" w:ascii="仿宋_GB2312" w:hAnsi="仿宋_GB2312" w:eastAsia="仿宋_GB2312" w:cs="仿宋_GB2312"/>
                <w:spacing w:val="-3"/>
                <w:sz w:val="21"/>
                <w:szCs w:val="20"/>
              </w:rPr>
              <w:t>格的药学专业技术人员负责；调配</w:t>
            </w:r>
            <w:r>
              <w:rPr>
                <w:rFonts w:hint="eastAsia" w:ascii="仿宋_GB2312" w:hAnsi="仿宋_GB2312" w:eastAsia="仿宋_GB2312" w:cs="仿宋_GB2312"/>
                <w:spacing w:val="12"/>
                <w:sz w:val="21"/>
                <w:szCs w:val="20"/>
              </w:rPr>
              <w:t>应由具备中药调剂的职业资质或具有中药学中专以上学历的人员</w:t>
            </w:r>
            <w:r>
              <w:rPr>
                <w:rFonts w:hint="eastAsia" w:ascii="仿宋_GB2312" w:hAnsi="仿宋_GB2312" w:eastAsia="仿宋_GB2312" w:cs="仿宋_GB2312"/>
                <w:spacing w:val="-6"/>
                <w:sz w:val="21"/>
                <w:szCs w:val="20"/>
              </w:rPr>
              <w:t>担任；复核应具有中药师或中药调</w:t>
            </w:r>
            <w:r>
              <w:rPr>
                <w:rFonts w:hint="eastAsia" w:ascii="仿宋_GB2312" w:hAnsi="仿宋_GB2312" w:eastAsia="仿宋_GB2312" w:cs="仿宋_GB2312"/>
                <w:spacing w:val="-1"/>
                <w:sz w:val="21"/>
                <w:szCs w:val="20"/>
              </w:rPr>
              <w:t xml:space="preserve">配岗位资质，或具有 </w:t>
            </w:r>
            <w:r>
              <w:rPr>
                <w:rFonts w:hint="eastAsia" w:ascii="仿宋_GB2312" w:hAnsi="仿宋_GB2312" w:eastAsia="仿宋_GB2312" w:cs="仿宋_GB2312"/>
                <w:sz w:val="21"/>
                <w:szCs w:val="20"/>
              </w:rPr>
              <w:t>20</w:t>
            </w:r>
            <w:r>
              <w:rPr>
                <w:rFonts w:hint="eastAsia" w:ascii="仿宋_GB2312" w:hAnsi="仿宋_GB2312" w:eastAsia="仿宋_GB2312" w:cs="仿宋_GB2312"/>
                <w:spacing w:val="-6"/>
                <w:sz w:val="21"/>
                <w:szCs w:val="20"/>
              </w:rPr>
              <w:t xml:space="preserve"> 年以上的</w:t>
            </w:r>
            <w:r>
              <w:rPr>
                <w:rFonts w:hint="eastAsia" w:ascii="仿宋_GB2312" w:hAnsi="仿宋_GB2312" w:eastAsia="仿宋_GB2312" w:cs="仿宋_GB2312"/>
                <w:spacing w:val="-3"/>
                <w:sz w:val="21"/>
                <w:szCs w:val="20"/>
              </w:rPr>
              <w:t>中药岗位工作实践，具备一定的饮</w:t>
            </w:r>
            <w:r>
              <w:rPr>
                <w:rFonts w:hint="eastAsia" w:ascii="仿宋_GB2312" w:hAnsi="仿宋_GB2312" w:eastAsia="仿宋_GB2312" w:cs="仿宋_GB2312"/>
                <w:spacing w:val="12"/>
                <w:sz w:val="21"/>
                <w:szCs w:val="20"/>
              </w:rPr>
              <w:t>片鉴别经验的老药工。条件不符</w:t>
            </w:r>
          </w:p>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sz w:val="21"/>
                <w:szCs w:val="20"/>
              </w:rPr>
              <w:t>合，每人扣 1 分，扣完为止。</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0"/>
              </w:rPr>
            </w:pPr>
            <w:r>
              <w:rPr>
                <w:rFonts w:hint="eastAsia" w:ascii="仿宋_GB2312" w:hAnsi="仿宋_GB2312" w:eastAsia="仿宋_GB2312" w:cs="仿宋_GB2312"/>
                <w:w w:val="99"/>
                <w:sz w:val="21"/>
                <w:szCs w:val="20"/>
              </w:rPr>
              <w:t>8</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0"/>
                <w:szCs w:val="20"/>
              </w:rPr>
            </w:pPr>
          </w:p>
        </w:tc>
        <w:tc>
          <w:tcPr>
            <w:tcW w:w="1722" w:type="dxa"/>
            <w:gridSpan w:val="2"/>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1563" w:hRule="atLeast"/>
          <w:jc w:val="center"/>
        </w:trPr>
        <w:tc>
          <w:tcPr>
            <w:tcW w:w="1279" w:type="dxa"/>
            <w:vMerge w:val="restart"/>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2管理</w:t>
            </w: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制度</w:t>
            </w: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（23分）</w:t>
            </w: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2.1</w:t>
            </w:r>
            <w:r>
              <w:rPr>
                <w:rFonts w:hint="eastAsia" w:ascii="仿宋_GB2312" w:hAnsi="仿宋_GB2312" w:eastAsia="仿宋_GB2312" w:cs="仿宋_GB2312"/>
                <w:spacing w:val="-6"/>
                <w:sz w:val="21"/>
                <w:szCs w:val="21"/>
              </w:rPr>
              <w:t xml:space="preserve"> 建立“中药煎药”相关的管理制</w:t>
            </w:r>
            <w:r>
              <w:rPr>
                <w:rFonts w:hint="eastAsia" w:ascii="仿宋_GB2312" w:hAnsi="仿宋_GB2312" w:eastAsia="仿宋_GB2312" w:cs="仿宋_GB2312"/>
                <w:spacing w:val="-56"/>
                <w:sz w:val="21"/>
                <w:szCs w:val="21"/>
              </w:rPr>
              <w:t>度：</w:t>
            </w:r>
            <w:r>
              <w:rPr>
                <w:rFonts w:hint="eastAsia" w:ascii="仿宋_GB2312" w:hAnsi="仿宋_GB2312" w:eastAsia="仿宋_GB2312" w:cs="仿宋_GB2312"/>
                <w:sz w:val="21"/>
                <w:szCs w:val="21"/>
              </w:rPr>
              <w:t>（</w:t>
            </w:r>
            <w:r>
              <w:rPr>
                <w:rFonts w:hint="eastAsia" w:ascii="仿宋_GB2312" w:hAnsi="仿宋_GB2312" w:eastAsia="仿宋_GB2312" w:cs="仿宋_GB2312"/>
                <w:spacing w:val="-1"/>
                <w:w w:val="99"/>
                <w:sz w:val="21"/>
                <w:szCs w:val="21"/>
              </w:rPr>
              <w:t>1</w:t>
            </w:r>
            <w:r>
              <w:rPr>
                <w:rFonts w:hint="eastAsia" w:ascii="仿宋_GB2312" w:hAnsi="仿宋_GB2312" w:eastAsia="仿宋_GB2312" w:cs="仿宋_GB2312"/>
                <w:spacing w:val="-105"/>
                <w:sz w:val="21"/>
                <w:szCs w:val="21"/>
              </w:rPr>
              <w:t>）</w:t>
            </w:r>
            <w:r>
              <w:rPr>
                <w:rFonts w:hint="eastAsia" w:ascii="仿宋_GB2312" w:hAnsi="仿宋_GB2312" w:eastAsia="仿宋_GB2312" w:cs="仿宋_GB2312"/>
                <w:spacing w:val="-20"/>
                <w:sz w:val="21"/>
                <w:szCs w:val="21"/>
              </w:rPr>
              <w:t>《中药煎药岗位职责》、</w:t>
            </w:r>
            <w:r>
              <w:rPr>
                <w:rFonts w:hint="eastAsia" w:ascii="仿宋_GB2312" w:hAnsi="仿宋_GB2312" w:eastAsia="仿宋_GB2312" w:cs="仿宋_GB2312"/>
                <w:spacing w:val="-5"/>
                <w:sz w:val="21"/>
                <w:szCs w:val="21"/>
              </w:rPr>
              <w:t>（</w:t>
            </w:r>
            <w:r>
              <w:rPr>
                <w:rFonts w:hint="eastAsia" w:ascii="仿宋_GB2312" w:hAnsi="仿宋_GB2312" w:eastAsia="仿宋_GB2312" w:cs="仿宋_GB2312"/>
                <w:spacing w:val="-6"/>
                <w:w w:val="99"/>
                <w:sz w:val="21"/>
                <w:szCs w:val="21"/>
              </w:rPr>
              <w:t>2</w:t>
            </w:r>
            <w:r>
              <w:rPr>
                <w:rFonts w:hint="eastAsia" w:ascii="仿宋_GB2312" w:hAnsi="仿宋_GB2312" w:eastAsia="仿宋_GB2312" w:cs="仿宋_GB2312"/>
                <w:spacing w:val="-5"/>
                <w:sz w:val="21"/>
                <w:szCs w:val="21"/>
              </w:rPr>
              <w:t>）</w:t>
            </w:r>
          </w:p>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pacing w:val="-11"/>
                <w:sz w:val="21"/>
                <w:szCs w:val="21"/>
              </w:rPr>
              <w:t>《中药煎药安全制度》</w:t>
            </w:r>
            <w:r>
              <w:rPr>
                <w:rFonts w:hint="eastAsia" w:ascii="仿宋_GB2312" w:hAnsi="仿宋_GB2312" w:eastAsia="仿宋_GB2312" w:cs="仿宋_GB2312"/>
                <w:spacing w:val="-131"/>
                <w:sz w:val="21"/>
                <w:szCs w:val="21"/>
              </w:rPr>
              <w:t>、</w:t>
            </w:r>
            <w:r>
              <w:rPr>
                <w:rFonts w:hint="eastAsia" w:ascii="仿宋_GB2312" w:hAnsi="仿宋_GB2312" w:eastAsia="仿宋_GB2312" w:cs="仿宋_GB2312"/>
                <w:sz w:val="21"/>
                <w:szCs w:val="21"/>
              </w:rPr>
              <w:t>（</w:t>
            </w:r>
            <w:r>
              <w:rPr>
                <w:rFonts w:hint="eastAsia" w:ascii="仿宋_GB2312" w:hAnsi="仿宋_GB2312" w:eastAsia="仿宋_GB2312" w:cs="仿宋_GB2312"/>
                <w:spacing w:val="-1"/>
                <w:w w:val="99"/>
                <w:sz w:val="21"/>
                <w:szCs w:val="21"/>
              </w:rPr>
              <w:t>3</w:t>
            </w:r>
            <w:r>
              <w:rPr>
                <w:rFonts w:hint="eastAsia" w:ascii="仿宋_GB2312" w:hAnsi="仿宋_GB2312" w:eastAsia="仿宋_GB2312" w:cs="仿宋_GB2312"/>
                <w:spacing w:val="-130"/>
                <w:sz w:val="21"/>
                <w:szCs w:val="21"/>
              </w:rPr>
              <w:t>）</w:t>
            </w:r>
            <w:r>
              <w:rPr>
                <w:rFonts w:hint="eastAsia" w:ascii="仿宋_GB2312" w:hAnsi="仿宋_GB2312" w:eastAsia="仿宋_GB2312" w:cs="仿宋_GB2312"/>
                <w:spacing w:val="-5"/>
                <w:sz w:val="21"/>
                <w:szCs w:val="21"/>
              </w:rPr>
              <w:t>《中药煎</w:t>
            </w:r>
            <w:r>
              <w:rPr>
                <w:rFonts w:hint="eastAsia" w:ascii="仿宋_GB2312" w:hAnsi="仿宋_GB2312" w:eastAsia="仿宋_GB2312" w:cs="仿宋_GB2312"/>
                <w:spacing w:val="-31"/>
                <w:w w:val="95"/>
                <w:sz w:val="21"/>
                <w:szCs w:val="21"/>
              </w:rPr>
              <w:t>药卫生制度》、</w:t>
            </w:r>
            <w:r>
              <w:rPr>
                <w:rFonts w:hint="eastAsia" w:ascii="仿宋_GB2312" w:hAnsi="仿宋_GB2312" w:eastAsia="仿宋_GB2312" w:cs="仿宋_GB2312"/>
                <w:w w:val="95"/>
                <w:sz w:val="21"/>
                <w:szCs w:val="21"/>
              </w:rPr>
              <w:t>（4</w:t>
            </w:r>
            <w:r>
              <w:rPr>
                <w:rFonts w:hint="eastAsia" w:ascii="仿宋_GB2312" w:hAnsi="仿宋_GB2312" w:eastAsia="仿宋_GB2312" w:cs="仿宋_GB2312"/>
                <w:spacing w:val="-2"/>
                <w:w w:val="95"/>
                <w:sz w:val="21"/>
                <w:szCs w:val="21"/>
              </w:rPr>
              <w:t>)《中药煎药操作规</w:t>
            </w:r>
            <w:r>
              <w:rPr>
                <w:rFonts w:hint="eastAsia" w:ascii="仿宋_GB2312" w:hAnsi="仿宋_GB2312" w:eastAsia="仿宋_GB2312" w:cs="仿宋_GB2312"/>
                <w:spacing w:val="-13"/>
                <w:sz w:val="21"/>
                <w:szCs w:val="21"/>
              </w:rPr>
              <w:t>程》，并且张贴上墙。</w:t>
            </w:r>
          </w:p>
        </w:tc>
        <w:tc>
          <w:tcPr>
            <w:tcW w:w="1748" w:type="dxa"/>
            <w:vMerge w:val="restart"/>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查阅相关资料，并实地考查。</w:t>
            </w: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pacing w:val="-5"/>
                <w:sz w:val="21"/>
                <w:szCs w:val="21"/>
              </w:rPr>
              <w:t>无制度，不得分；制度不完善，每</w:t>
            </w:r>
            <w:r>
              <w:rPr>
                <w:rFonts w:hint="eastAsia" w:ascii="仿宋_GB2312" w:hAnsi="仿宋_GB2312" w:eastAsia="仿宋_GB2312" w:cs="仿宋_GB2312"/>
                <w:spacing w:val="-15"/>
                <w:sz w:val="21"/>
                <w:szCs w:val="21"/>
              </w:rPr>
              <w:t xml:space="preserve">项扣 </w:t>
            </w:r>
            <w:r>
              <w:rPr>
                <w:rFonts w:hint="eastAsia" w:ascii="仿宋_GB2312" w:hAnsi="仿宋_GB2312" w:eastAsia="仿宋_GB2312" w:cs="仿宋_GB2312"/>
                <w:sz w:val="21"/>
                <w:szCs w:val="21"/>
              </w:rPr>
              <w:t>2</w:t>
            </w:r>
            <w:r>
              <w:rPr>
                <w:rFonts w:hint="eastAsia" w:ascii="仿宋_GB2312" w:hAnsi="仿宋_GB2312" w:eastAsia="仿宋_GB2312" w:cs="仿宋_GB2312"/>
                <w:spacing w:val="-10"/>
                <w:sz w:val="21"/>
                <w:szCs w:val="21"/>
              </w:rPr>
              <w:t xml:space="preserve"> 分；未张贴上墙，每项扣 </w:t>
            </w:r>
            <w:r>
              <w:rPr>
                <w:rFonts w:hint="eastAsia" w:ascii="仿宋_GB2312" w:hAnsi="仿宋_GB2312" w:eastAsia="仿宋_GB2312" w:cs="仿宋_GB2312"/>
                <w:spacing w:val="-16"/>
                <w:sz w:val="21"/>
                <w:szCs w:val="21"/>
              </w:rPr>
              <w:t xml:space="preserve">1 </w:t>
            </w:r>
            <w:r>
              <w:rPr>
                <w:rFonts w:hint="eastAsia" w:ascii="仿宋_GB2312" w:hAnsi="仿宋_GB2312" w:eastAsia="仿宋_GB2312" w:cs="仿宋_GB2312"/>
                <w:sz w:val="21"/>
                <w:szCs w:val="21"/>
              </w:rPr>
              <w:t>分。</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8</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772" w:hRule="atLeast"/>
          <w:jc w:val="center"/>
        </w:trPr>
        <w:tc>
          <w:tcPr>
            <w:tcW w:w="1279"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2.2</w:t>
            </w:r>
            <w:r>
              <w:rPr>
                <w:rFonts w:hint="eastAsia" w:ascii="仿宋_GB2312" w:hAnsi="仿宋_GB2312" w:eastAsia="仿宋_GB2312" w:cs="仿宋_GB2312"/>
                <w:spacing w:val="-5"/>
                <w:sz w:val="21"/>
                <w:szCs w:val="21"/>
              </w:rPr>
              <w:t xml:space="preserve"> 建立“中药煎药”相关的原始记</w:t>
            </w:r>
            <w:r>
              <w:rPr>
                <w:rFonts w:hint="eastAsia" w:ascii="仿宋_GB2312" w:hAnsi="仿宋_GB2312" w:eastAsia="仿宋_GB2312" w:cs="仿宋_GB2312"/>
                <w:spacing w:val="-14"/>
                <w:sz w:val="21"/>
                <w:szCs w:val="21"/>
              </w:rPr>
              <w:t>录台账：煎药操作记录</w:t>
            </w:r>
            <w:r>
              <w:rPr>
                <w:rFonts w:hint="eastAsia" w:ascii="仿宋_GB2312" w:hAnsi="仿宋_GB2312" w:eastAsia="仿宋_GB2312" w:cs="仿宋_GB2312"/>
                <w:sz w:val="21"/>
                <w:szCs w:val="21"/>
              </w:rPr>
              <w:t>（煎药凭证</w:t>
            </w:r>
            <w:r>
              <w:rPr>
                <w:rFonts w:hint="eastAsia" w:ascii="仿宋_GB2312" w:hAnsi="仿宋_GB2312" w:eastAsia="仿宋_GB2312" w:cs="仿宋_GB2312"/>
                <w:spacing w:val="-53"/>
                <w:sz w:val="21"/>
                <w:szCs w:val="21"/>
              </w:rPr>
              <w:t>）</w:t>
            </w:r>
            <w:r>
              <w:rPr>
                <w:rFonts w:hint="eastAsia" w:ascii="仿宋_GB2312" w:hAnsi="仿宋_GB2312" w:eastAsia="仿宋_GB2312" w:cs="仿宋_GB2312"/>
                <w:sz w:val="21"/>
                <w:szCs w:val="21"/>
              </w:rPr>
              <w:t>。</w:t>
            </w:r>
          </w:p>
        </w:tc>
        <w:tc>
          <w:tcPr>
            <w:tcW w:w="1748"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无记录，不得分；记录不完整，每张扣 1 分。</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5</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767" w:hRule="atLeast"/>
          <w:jc w:val="center"/>
        </w:trPr>
        <w:tc>
          <w:tcPr>
            <w:tcW w:w="1279"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2</w:t>
            </w:r>
            <w:r>
              <w:rPr>
                <w:rFonts w:hint="eastAsia" w:ascii="仿宋_GB2312" w:hAnsi="仿宋_GB2312" w:eastAsia="仿宋_GB2312" w:cs="仿宋_GB2312"/>
                <w:w w:val="49"/>
                <w:sz w:val="21"/>
                <w:szCs w:val="21"/>
              </w:rPr>
              <w:t>.</w:t>
            </w:r>
            <w:r>
              <w:rPr>
                <w:rFonts w:hint="eastAsia" w:ascii="仿宋_GB2312" w:hAnsi="仿宋_GB2312" w:eastAsia="仿宋_GB2312" w:cs="仿宋_GB2312"/>
                <w:w w:val="99"/>
                <w:sz w:val="21"/>
                <w:szCs w:val="21"/>
              </w:rPr>
              <w:t>3</w:t>
            </w:r>
            <w:r>
              <w:rPr>
                <w:rFonts w:hint="eastAsia" w:ascii="仿宋_GB2312" w:hAnsi="仿宋_GB2312" w:eastAsia="仿宋_GB2312" w:cs="仿宋_GB2312"/>
                <w:sz w:val="21"/>
                <w:szCs w:val="21"/>
              </w:rPr>
              <w:t xml:space="preserve"> 规范煎药的收、发药制度和收、发药记录。纸质或电子记录均可。</w:t>
            </w:r>
          </w:p>
        </w:tc>
        <w:tc>
          <w:tcPr>
            <w:tcW w:w="1748"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pacing w:val="-19"/>
                <w:sz w:val="21"/>
                <w:szCs w:val="21"/>
              </w:rPr>
              <w:t>无制度或无记录，不得分；制度不完</w:t>
            </w:r>
            <w:r>
              <w:rPr>
                <w:rFonts w:hint="eastAsia" w:ascii="仿宋_GB2312" w:hAnsi="仿宋_GB2312" w:eastAsia="仿宋_GB2312" w:cs="仿宋_GB2312"/>
                <w:spacing w:val="-21"/>
                <w:sz w:val="21"/>
                <w:szCs w:val="21"/>
              </w:rPr>
              <w:t xml:space="preserve">善，扣 </w:t>
            </w:r>
            <w:r>
              <w:rPr>
                <w:rFonts w:hint="eastAsia" w:ascii="仿宋_GB2312" w:hAnsi="仿宋_GB2312" w:eastAsia="仿宋_GB2312" w:cs="仿宋_GB2312"/>
                <w:sz w:val="21"/>
                <w:szCs w:val="21"/>
              </w:rPr>
              <w:t>2</w:t>
            </w:r>
            <w:r>
              <w:rPr>
                <w:rFonts w:hint="eastAsia" w:ascii="仿宋_GB2312" w:hAnsi="仿宋_GB2312" w:eastAsia="仿宋_GB2312" w:cs="仿宋_GB2312"/>
                <w:spacing w:val="-21"/>
                <w:sz w:val="21"/>
                <w:szCs w:val="21"/>
              </w:rPr>
              <w:t xml:space="preserve"> 分；记录不完整，扣 </w:t>
            </w:r>
            <w:r>
              <w:rPr>
                <w:rFonts w:hint="eastAsia" w:ascii="仿宋_GB2312" w:hAnsi="仿宋_GB2312" w:eastAsia="仿宋_GB2312" w:cs="仿宋_GB2312"/>
                <w:sz w:val="21"/>
                <w:szCs w:val="21"/>
              </w:rPr>
              <w:t>2</w:t>
            </w:r>
            <w:r>
              <w:rPr>
                <w:rFonts w:hint="eastAsia" w:ascii="仿宋_GB2312" w:hAnsi="仿宋_GB2312" w:eastAsia="仿宋_GB2312" w:cs="仿宋_GB2312"/>
                <w:spacing w:val="-23"/>
                <w:sz w:val="21"/>
                <w:szCs w:val="21"/>
              </w:rPr>
              <w:t xml:space="preserve"> 分。</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5</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983" w:hRule="atLeast"/>
          <w:jc w:val="center"/>
        </w:trPr>
        <w:tc>
          <w:tcPr>
            <w:tcW w:w="1279"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2.4 建立煎、送药的差错事故记录；</w:t>
            </w:r>
          </w:p>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建立医疗机构煎药质量投诉及反馈解决情况的记录。</w:t>
            </w:r>
          </w:p>
        </w:tc>
        <w:tc>
          <w:tcPr>
            <w:tcW w:w="1748"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查相关资料。</w:t>
            </w: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无记录，不得分；记录不完整，每项扣 2 分。</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5</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2250" w:hRule="atLeast"/>
          <w:jc w:val="center"/>
        </w:trPr>
        <w:tc>
          <w:tcPr>
            <w:tcW w:w="1279" w:type="dxa"/>
            <w:vMerge w:val="restart"/>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3硬件</w:t>
            </w: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设施</w:t>
            </w: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（18分）</w:t>
            </w: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3.1</w:t>
            </w:r>
            <w:r>
              <w:rPr>
                <w:rFonts w:hint="eastAsia" w:ascii="仿宋_GB2312" w:hAnsi="仿宋_GB2312" w:eastAsia="仿宋_GB2312" w:cs="仿宋_GB2312"/>
                <w:spacing w:val="-8"/>
                <w:sz w:val="21"/>
                <w:szCs w:val="21"/>
              </w:rPr>
              <w:t xml:space="preserve"> 企业应当有满足实际操作和管理需要的煎药场地。煎药场地的面积与</w:t>
            </w:r>
            <w:r>
              <w:rPr>
                <w:rFonts w:hint="eastAsia" w:ascii="仿宋_GB2312" w:hAnsi="仿宋_GB2312" w:eastAsia="仿宋_GB2312" w:cs="仿宋_GB2312"/>
                <w:spacing w:val="-6"/>
                <w:sz w:val="21"/>
                <w:szCs w:val="21"/>
              </w:rPr>
              <w:t>本单位煎药工作量相适应。煎药间布</w:t>
            </w:r>
            <w:r>
              <w:rPr>
                <w:rFonts w:hint="eastAsia" w:ascii="仿宋_GB2312" w:hAnsi="仿宋_GB2312" w:eastAsia="仿宋_GB2312" w:cs="仿宋_GB2312"/>
                <w:spacing w:val="-9"/>
                <w:sz w:val="21"/>
                <w:szCs w:val="21"/>
              </w:rPr>
              <w:t>局合理，能避免差错和交叉污染的发生。配备完善的煎药设备设施和辅助</w:t>
            </w:r>
            <w:r>
              <w:rPr>
                <w:rFonts w:hint="eastAsia" w:ascii="仿宋_GB2312" w:hAnsi="仿宋_GB2312" w:eastAsia="仿宋_GB2312" w:cs="仿宋_GB2312"/>
                <w:spacing w:val="-8"/>
                <w:sz w:val="21"/>
                <w:szCs w:val="21"/>
              </w:rPr>
              <w:t>用具。有视频监控网络系统，视频可传输至医疗机构，对中药调剂代煎过程</w:t>
            </w:r>
            <w:r>
              <w:rPr>
                <w:rFonts w:hint="eastAsia" w:ascii="仿宋_GB2312" w:hAnsi="仿宋_GB2312" w:eastAsia="仿宋_GB2312" w:cs="仿宋_GB2312"/>
                <w:sz w:val="21"/>
                <w:szCs w:val="21"/>
              </w:rPr>
              <w:t>实施全程电子监控。</w:t>
            </w:r>
          </w:p>
        </w:tc>
        <w:tc>
          <w:tcPr>
            <w:tcW w:w="1748" w:type="dxa"/>
            <w:vMerge w:val="restart"/>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实地考查。</w:t>
            </w: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pacing w:val="-8"/>
                <w:sz w:val="21"/>
                <w:szCs w:val="21"/>
              </w:rPr>
              <w:t xml:space="preserve">场地面积不达标，扣 </w:t>
            </w:r>
            <w:r>
              <w:rPr>
                <w:rFonts w:hint="eastAsia" w:ascii="仿宋_GB2312" w:hAnsi="仿宋_GB2312" w:eastAsia="仿宋_GB2312" w:cs="仿宋_GB2312"/>
                <w:sz w:val="21"/>
                <w:szCs w:val="21"/>
              </w:rPr>
              <w:t>2</w:t>
            </w:r>
            <w:r>
              <w:rPr>
                <w:rFonts w:hint="eastAsia" w:ascii="仿宋_GB2312" w:hAnsi="仿宋_GB2312" w:eastAsia="仿宋_GB2312" w:cs="仿宋_GB2312"/>
                <w:spacing w:val="-11"/>
                <w:sz w:val="21"/>
                <w:szCs w:val="21"/>
              </w:rPr>
              <w:t xml:space="preserve"> 分，布局不</w:t>
            </w:r>
            <w:r>
              <w:rPr>
                <w:rFonts w:hint="eastAsia" w:ascii="仿宋_GB2312" w:hAnsi="仿宋_GB2312" w:eastAsia="仿宋_GB2312" w:cs="仿宋_GB2312"/>
                <w:spacing w:val="-14"/>
                <w:sz w:val="21"/>
                <w:szCs w:val="21"/>
              </w:rPr>
              <w:t xml:space="preserve">合理，扣 </w:t>
            </w:r>
            <w:r>
              <w:rPr>
                <w:rFonts w:hint="eastAsia" w:ascii="仿宋_GB2312" w:hAnsi="仿宋_GB2312" w:eastAsia="仿宋_GB2312" w:cs="仿宋_GB2312"/>
                <w:sz w:val="21"/>
                <w:szCs w:val="21"/>
              </w:rPr>
              <w:t>3</w:t>
            </w:r>
            <w:r>
              <w:rPr>
                <w:rFonts w:hint="eastAsia" w:ascii="仿宋_GB2312" w:hAnsi="仿宋_GB2312" w:eastAsia="仿宋_GB2312" w:cs="仿宋_GB2312"/>
                <w:spacing w:val="-8"/>
                <w:sz w:val="21"/>
                <w:szCs w:val="21"/>
              </w:rPr>
              <w:t xml:space="preserve"> 分；设施设备和辅助用具配备不完善，扣 </w:t>
            </w:r>
            <w:r>
              <w:rPr>
                <w:rFonts w:hint="eastAsia" w:ascii="仿宋_GB2312" w:hAnsi="仿宋_GB2312" w:eastAsia="仿宋_GB2312" w:cs="仿宋_GB2312"/>
                <w:sz w:val="21"/>
                <w:szCs w:val="21"/>
              </w:rPr>
              <w:t>2</w:t>
            </w:r>
            <w:r>
              <w:rPr>
                <w:rFonts w:hint="eastAsia" w:ascii="仿宋_GB2312" w:hAnsi="仿宋_GB2312" w:eastAsia="仿宋_GB2312" w:cs="仿宋_GB2312"/>
                <w:spacing w:val="-12"/>
                <w:sz w:val="21"/>
                <w:szCs w:val="21"/>
              </w:rPr>
              <w:t xml:space="preserve"> 分；无视频监</w:t>
            </w:r>
            <w:r>
              <w:rPr>
                <w:rFonts w:hint="eastAsia" w:ascii="仿宋_GB2312" w:hAnsi="仿宋_GB2312" w:eastAsia="仿宋_GB2312" w:cs="仿宋_GB2312"/>
                <w:spacing w:val="-3"/>
                <w:sz w:val="21"/>
                <w:szCs w:val="21"/>
              </w:rPr>
              <w:t>控系统，扣</w:t>
            </w:r>
            <w:r>
              <w:rPr>
                <w:rFonts w:hint="eastAsia" w:ascii="仿宋_GB2312" w:hAnsi="仿宋_GB2312" w:eastAsia="仿宋_GB2312" w:cs="仿宋_GB2312"/>
                <w:sz w:val="21"/>
                <w:szCs w:val="21"/>
              </w:rPr>
              <w:t>5</w:t>
            </w:r>
            <w:r>
              <w:rPr>
                <w:rFonts w:hint="eastAsia" w:ascii="仿宋_GB2312" w:hAnsi="仿宋_GB2312" w:eastAsia="仿宋_GB2312" w:cs="仿宋_GB2312"/>
                <w:spacing w:val="-18"/>
                <w:sz w:val="21"/>
                <w:szCs w:val="21"/>
              </w:rPr>
              <w:t xml:space="preserve"> 分。</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12</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700" w:hRule="atLeast"/>
          <w:jc w:val="center"/>
        </w:trPr>
        <w:tc>
          <w:tcPr>
            <w:tcW w:w="1279" w:type="dxa"/>
            <w:vMerge w:val="continue"/>
          </w:tcPr>
          <w:p>
            <w:pPr>
              <w:keepNext w:val="0"/>
              <w:keepLines w:val="0"/>
              <w:pageBreakBefore w:val="0"/>
              <w:kinsoku/>
              <w:wordWrap/>
              <w:overflowPunct/>
              <w:topLinePunct w:val="0"/>
              <w:bidi w:val="0"/>
              <w:spacing w:after="0" w:line="300" w:lineRule="exact"/>
              <w:ind w:left="66" w:leftChars="30" w:right="170"/>
              <w:textAlignment w:val="auto"/>
              <w:outlineLvl w:val="9"/>
              <w:rPr>
                <w:rFonts w:hint="eastAsia" w:ascii="仿宋_GB2312" w:hAnsi="仿宋_GB2312" w:eastAsia="仿宋_GB2312" w:cs="仿宋_GB2312"/>
                <w:sz w:val="21"/>
                <w:szCs w:val="21"/>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3.2 煎药场地的墙壁、地坪平整，不易积灰和脱落，洁净易清洗。</w:t>
            </w:r>
          </w:p>
        </w:tc>
        <w:tc>
          <w:tcPr>
            <w:tcW w:w="1748" w:type="dxa"/>
            <w:vMerge w:val="continue"/>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不符合要求，酌情扣分。</w:t>
            </w:r>
          </w:p>
        </w:tc>
        <w:tc>
          <w:tcPr>
            <w:tcW w:w="1080" w:type="dxa"/>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3</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1010" w:hRule="atLeast"/>
          <w:jc w:val="center"/>
        </w:trPr>
        <w:tc>
          <w:tcPr>
            <w:tcW w:w="1279" w:type="dxa"/>
            <w:vMerge w:val="continue"/>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4111" w:type="dxa"/>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3.3 包装材料、加工用具耐腐蚀，严禁使用铝、铁制品，有安全防火、通风、调温、防蚊蝇飞虫侵入的设施。</w:t>
            </w:r>
          </w:p>
        </w:tc>
        <w:tc>
          <w:tcPr>
            <w:tcW w:w="1748" w:type="dxa"/>
            <w:vMerge w:val="continue"/>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335"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不符合要求，酌情扣分。</w:t>
            </w:r>
          </w:p>
        </w:tc>
        <w:tc>
          <w:tcPr>
            <w:tcW w:w="10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3</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762" w:hRule="atLeast"/>
          <w:jc w:val="center"/>
        </w:trPr>
        <w:tc>
          <w:tcPr>
            <w:tcW w:w="1279" w:type="dxa"/>
            <w:vMerge w:val="restart"/>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4现场</w:t>
            </w: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管理</w:t>
            </w: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（17分）</w:t>
            </w: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4.1 煎药人员按规定穿戴工作服、工作帽，保持个人卫生。</w:t>
            </w:r>
          </w:p>
        </w:tc>
        <w:tc>
          <w:tcPr>
            <w:tcW w:w="1748" w:type="dxa"/>
            <w:vMerge w:val="restart"/>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实地考查。</w:t>
            </w:r>
          </w:p>
        </w:tc>
        <w:tc>
          <w:tcPr>
            <w:tcW w:w="4335"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不符合要求，酌情扣分。</w:t>
            </w:r>
          </w:p>
        </w:tc>
        <w:tc>
          <w:tcPr>
            <w:tcW w:w="10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3</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772" w:hRule="atLeast"/>
          <w:jc w:val="center"/>
        </w:trPr>
        <w:tc>
          <w:tcPr>
            <w:tcW w:w="1279"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4</w:t>
            </w:r>
            <w:r>
              <w:rPr>
                <w:rFonts w:hint="eastAsia" w:ascii="仿宋_GB2312" w:hAnsi="仿宋_GB2312" w:eastAsia="仿宋_GB2312" w:cs="仿宋_GB2312"/>
                <w:w w:val="49"/>
                <w:sz w:val="21"/>
                <w:szCs w:val="21"/>
              </w:rPr>
              <w:t>.</w:t>
            </w:r>
            <w:r>
              <w:rPr>
                <w:rFonts w:hint="eastAsia" w:ascii="仿宋_GB2312" w:hAnsi="仿宋_GB2312" w:eastAsia="仿宋_GB2312" w:cs="仿宋_GB2312"/>
                <w:w w:val="99"/>
                <w:sz w:val="21"/>
                <w:szCs w:val="21"/>
              </w:rPr>
              <w:t>2</w:t>
            </w:r>
            <w:r>
              <w:rPr>
                <w:rFonts w:hint="eastAsia" w:ascii="仿宋_GB2312" w:hAnsi="仿宋_GB2312" w:eastAsia="仿宋_GB2312" w:cs="仿宋_GB2312"/>
                <w:sz w:val="21"/>
                <w:szCs w:val="21"/>
              </w:rPr>
              <w:t xml:space="preserve"> 煎药场地不得放置与煎药无关物品和个人杂物。</w:t>
            </w:r>
          </w:p>
        </w:tc>
        <w:tc>
          <w:tcPr>
            <w:tcW w:w="1748"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335"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不符合要求，酌情扣分。</w:t>
            </w:r>
          </w:p>
        </w:tc>
        <w:tc>
          <w:tcPr>
            <w:tcW w:w="10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3</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1080" w:hRule="atLeast"/>
          <w:jc w:val="center"/>
        </w:trPr>
        <w:tc>
          <w:tcPr>
            <w:tcW w:w="1279"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4</w:t>
            </w:r>
            <w:r>
              <w:rPr>
                <w:rFonts w:hint="eastAsia" w:ascii="仿宋_GB2312" w:hAnsi="仿宋_GB2312" w:eastAsia="仿宋_GB2312" w:cs="仿宋_GB2312"/>
                <w:spacing w:val="-1"/>
                <w:w w:val="49"/>
                <w:sz w:val="21"/>
                <w:szCs w:val="21"/>
              </w:rPr>
              <w:t>.</w:t>
            </w:r>
            <w:r>
              <w:rPr>
                <w:rFonts w:hint="eastAsia" w:ascii="仿宋_GB2312" w:hAnsi="仿宋_GB2312" w:eastAsia="仿宋_GB2312" w:cs="仿宋_GB2312"/>
                <w:w w:val="99"/>
                <w:sz w:val="21"/>
                <w:szCs w:val="21"/>
              </w:rPr>
              <w:t>3</w:t>
            </w:r>
            <w:r>
              <w:rPr>
                <w:rFonts w:hint="eastAsia" w:ascii="仿宋_GB2312" w:hAnsi="仿宋_GB2312" w:eastAsia="仿宋_GB2312" w:cs="仿宋_GB2312"/>
                <w:spacing w:val="-11"/>
                <w:sz w:val="21"/>
                <w:szCs w:val="21"/>
              </w:rPr>
              <w:t xml:space="preserve"> 煎药间应当定期消毒。煎药设备、</w:t>
            </w:r>
            <w:r>
              <w:rPr>
                <w:rFonts w:hint="eastAsia" w:ascii="仿宋_GB2312" w:hAnsi="仿宋_GB2312" w:eastAsia="仿宋_GB2312" w:cs="仿宋_GB2312"/>
                <w:spacing w:val="9"/>
                <w:sz w:val="21"/>
                <w:szCs w:val="21"/>
              </w:rPr>
              <w:t>器具做到及时清洗无药垢，场地清洁。有清洁消毒规程和记录。</w:t>
            </w:r>
          </w:p>
        </w:tc>
        <w:tc>
          <w:tcPr>
            <w:tcW w:w="1748"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335" w:type="dxa"/>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pacing w:val="-4"/>
                <w:sz w:val="21"/>
                <w:szCs w:val="21"/>
              </w:rPr>
              <w:t>未定期消毒、无清洁规程或无每日</w:t>
            </w:r>
            <w:r>
              <w:rPr>
                <w:rFonts w:hint="eastAsia" w:ascii="仿宋_GB2312" w:hAnsi="仿宋_GB2312" w:eastAsia="仿宋_GB2312" w:cs="仿宋_GB2312"/>
                <w:spacing w:val="-6"/>
                <w:sz w:val="21"/>
                <w:szCs w:val="21"/>
              </w:rPr>
              <w:t>清洁记录，不得分；消毒记录和每</w:t>
            </w:r>
            <w:r>
              <w:rPr>
                <w:rFonts w:hint="eastAsia" w:ascii="仿宋_GB2312" w:hAnsi="仿宋_GB2312" w:eastAsia="仿宋_GB2312" w:cs="仿宋_GB2312"/>
                <w:spacing w:val="-10"/>
                <w:sz w:val="21"/>
                <w:szCs w:val="21"/>
              </w:rPr>
              <w:t xml:space="preserve">日清洁记录不完整，每项扣 </w:t>
            </w:r>
            <w:r>
              <w:rPr>
                <w:rFonts w:hint="eastAsia" w:ascii="仿宋_GB2312" w:hAnsi="仿宋_GB2312" w:eastAsia="仿宋_GB2312" w:cs="仿宋_GB2312"/>
                <w:sz w:val="21"/>
                <w:szCs w:val="21"/>
              </w:rPr>
              <w:t>1</w:t>
            </w:r>
            <w:r>
              <w:rPr>
                <w:rFonts w:hint="eastAsia" w:ascii="仿宋_GB2312" w:hAnsi="仿宋_GB2312" w:eastAsia="仿宋_GB2312" w:cs="仿宋_GB2312"/>
                <w:spacing w:val="-24"/>
                <w:sz w:val="21"/>
                <w:szCs w:val="21"/>
              </w:rPr>
              <w:t xml:space="preserve"> 分。</w:t>
            </w:r>
          </w:p>
        </w:tc>
        <w:tc>
          <w:tcPr>
            <w:tcW w:w="10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5</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767" w:hRule="atLeast"/>
          <w:jc w:val="center"/>
        </w:trPr>
        <w:tc>
          <w:tcPr>
            <w:tcW w:w="1279"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4.4 内服药与外用药应当使用不同的标识区分，有防止混药的措施。</w:t>
            </w:r>
          </w:p>
        </w:tc>
        <w:tc>
          <w:tcPr>
            <w:tcW w:w="1748"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335"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无区分标识，不得分；无防止混药的设施，扣 3 分。</w:t>
            </w:r>
          </w:p>
        </w:tc>
        <w:tc>
          <w:tcPr>
            <w:tcW w:w="10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6</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1075" w:hRule="atLeast"/>
          <w:jc w:val="center"/>
        </w:trPr>
        <w:tc>
          <w:tcPr>
            <w:tcW w:w="1279" w:type="dxa"/>
            <w:vMerge w:val="restart"/>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pacing w:val="36"/>
                <w:sz w:val="21"/>
                <w:szCs w:val="21"/>
              </w:rPr>
            </w:pPr>
            <w:r>
              <w:rPr>
                <w:rFonts w:hint="eastAsia" w:ascii="仿宋_GB2312" w:hAnsi="仿宋_GB2312" w:eastAsia="仿宋_GB2312" w:cs="仿宋_GB2312"/>
                <w:sz w:val="21"/>
                <w:szCs w:val="21"/>
              </w:rPr>
              <w:t>5</w:t>
            </w:r>
            <w:r>
              <w:rPr>
                <w:rFonts w:hint="eastAsia" w:ascii="仿宋_GB2312" w:hAnsi="仿宋_GB2312" w:eastAsia="仿宋_GB2312" w:cs="仿宋_GB2312"/>
                <w:spacing w:val="36"/>
                <w:sz w:val="21"/>
                <w:szCs w:val="21"/>
              </w:rPr>
              <w:t>技术</w:t>
            </w: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pacing w:val="36"/>
                <w:sz w:val="21"/>
                <w:szCs w:val="21"/>
              </w:rPr>
              <w:t>标准管理（20</w:t>
            </w:r>
            <w:r>
              <w:rPr>
                <w:rFonts w:hint="eastAsia" w:ascii="仿宋_GB2312" w:hAnsi="仿宋_GB2312" w:eastAsia="仿宋_GB2312" w:cs="仿宋_GB2312"/>
                <w:spacing w:val="-28"/>
                <w:sz w:val="21"/>
                <w:szCs w:val="21"/>
              </w:rPr>
              <w:t>分</w:t>
            </w:r>
            <w:r>
              <w:rPr>
                <w:rFonts w:hint="eastAsia" w:ascii="仿宋_GB2312" w:hAnsi="仿宋_GB2312" w:eastAsia="仿宋_GB2312" w:cs="仿宋_GB2312"/>
                <w:spacing w:val="-16"/>
                <w:sz w:val="21"/>
                <w:szCs w:val="21"/>
              </w:rPr>
              <w:t>）</w:t>
            </w: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5.1 执行煎药工艺规程，有特殊要求和医嘱，按规定处理。</w:t>
            </w:r>
          </w:p>
        </w:tc>
        <w:tc>
          <w:tcPr>
            <w:tcW w:w="1748" w:type="dxa"/>
            <w:vMerge w:val="restart"/>
            <w:vAlign w:val="center"/>
          </w:tcPr>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实地考查。</w:t>
            </w:r>
          </w:p>
        </w:tc>
        <w:tc>
          <w:tcPr>
            <w:tcW w:w="4335"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pacing w:val="13"/>
                <w:sz w:val="21"/>
                <w:szCs w:val="21"/>
              </w:rPr>
              <w:t>未按医嘱或先煎后下特殊要求煎</w:t>
            </w:r>
          </w:p>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pacing w:val="-12"/>
                <w:sz w:val="21"/>
                <w:szCs w:val="21"/>
              </w:rPr>
              <w:t xml:space="preserve">药，不得分；煎药操作方法不规范， </w:t>
            </w:r>
            <w:r>
              <w:rPr>
                <w:rFonts w:hint="eastAsia" w:ascii="仿宋_GB2312" w:hAnsi="仿宋_GB2312" w:eastAsia="仿宋_GB2312" w:cs="仿宋_GB2312"/>
                <w:spacing w:val="-23"/>
                <w:sz w:val="21"/>
                <w:szCs w:val="21"/>
              </w:rPr>
              <w:t xml:space="preserve">每处扣 </w:t>
            </w:r>
            <w:r>
              <w:rPr>
                <w:rFonts w:hint="eastAsia" w:ascii="仿宋_GB2312" w:hAnsi="仿宋_GB2312" w:eastAsia="仿宋_GB2312" w:cs="仿宋_GB2312"/>
                <w:sz w:val="21"/>
                <w:szCs w:val="21"/>
              </w:rPr>
              <w:t>2</w:t>
            </w:r>
            <w:r>
              <w:rPr>
                <w:rFonts w:hint="eastAsia" w:ascii="仿宋_GB2312" w:hAnsi="仿宋_GB2312" w:eastAsia="仿宋_GB2312" w:cs="仿宋_GB2312"/>
                <w:spacing w:val="-8"/>
                <w:sz w:val="21"/>
                <w:szCs w:val="21"/>
              </w:rPr>
              <w:t xml:space="preserve"> 分，扣完为止。</w:t>
            </w:r>
          </w:p>
        </w:tc>
        <w:tc>
          <w:tcPr>
            <w:tcW w:w="10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10</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778" w:hRule="atLeast"/>
          <w:jc w:val="center"/>
        </w:trPr>
        <w:tc>
          <w:tcPr>
            <w:tcW w:w="1279" w:type="dxa"/>
            <w:vMerge w:val="continue"/>
            <w:tcBorders>
              <w:top w:val="nil"/>
            </w:tcBorders>
          </w:tcPr>
          <w:p>
            <w:pPr>
              <w:keepNext w:val="0"/>
              <w:keepLines w:val="0"/>
              <w:pageBreakBefore w:val="0"/>
              <w:kinsoku/>
              <w:wordWrap/>
              <w:overflowPunct/>
              <w:topLinePunct w:val="0"/>
              <w:bidi w:val="0"/>
              <w:spacing w:after="0" w:line="300" w:lineRule="exact"/>
              <w:ind w:left="66" w:leftChars="30" w:right="170"/>
              <w:textAlignment w:val="auto"/>
              <w:outlineLvl w:val="9"/>
              <w:rPr>
                <w:rFonts w:hint="eastAsia" w:ascii="仿宋_GB2312" w:hAnsi="仿宋_GB2312" w:eastAsia="仿宋_GB2312" w:cs="仿宋_GB2312"/>
                <w:sz w:val="21"/>
                <w:szCs w:val="21"/>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5</w:t>
            </w:r>
            <w:r>
              <w:rPr>
                <w:rFonts w:hint="eastAsia" w:ascii="仿宋_GB2312" w:hAnsi="仿宋_GB2312" w:eastAsia="仿宋_GB2312" w:cs="仿宋_GB2312"/>
                <w:w w:val="49"/>
                <w:sz w:val="21"/>
                <w:szCs w:val="21"/>
              </w:rPr>
              <w:t>.</w:t>
            </w:r>
            <w:r>
              <w:rPr>
                <w:rFonts w:hint="eastAsia" w:ascii="仿宋_GB2312" w:hAnsi="仿宋_GB2312" w:eastAsia="仿宋_GB2312" w:cs="仿宋_GB2312"/>
                <w:w w:val="99"/>
                <w:sz w:val="21"/>
                <w:szCs w:val="21"/>
              </w:rPr>
              <w:t>2</w:t>
            </w:r>
            <w:r>
              <w:rPr>
                <w:rFonts w:hint="eastAsia" w:ascii="仿宋_GB2312" w:hAnsi="仿宋_GB2312" w:eastAsia="仿宋_GB2312" w:cs="仿宋_GB2312"/>
                <w:sz w:val="21"/>
                <w:szCs w:val="21"/>
              </w:rPr>
              <w:t xml:space="preserve"> 药液煎煮量及分剂量装量符合要求，无色差。</w:t>
            </w:r>
          </w:p>
        </w:tc>
        <w:tc>
          <w:tcPr>
            <w:tcW w:w="1748"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335"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不符合要求，不得分。</w:t>
            </w:r>
          </w:p>
        </w:tc>
        <w:tc>
          <w:tcPr>
            <w:tcW w:w="10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5</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8" w:type="dxa"/>
          <w:trHeight w:val="743" w:hRule="atLeast"/>
          <w:jc w:val="center"/>
        </w:trPr>
        <w:tc>
          <w:tcPr>
            <w:tcW w:w="1279" w:type="dxa"/>
            <w:vMerge w:val="continue"/>
            <w:tcBorders>
              <w:top w:val="nil"/>
            </w:tcBorders>
          </w:tcPr>
          <w:p>
            <w:pPr>
              <w:keepNext w:val="0"/>
              <w:keepLines w:val="0"/>
              <w:pageBreakBefore w:val="0"/>
              <w:kinsoku/>
              <w:wordWrap/>
              <w:overflowPunct/>
              <w:topLinePunct w:val="0"/>
              <w:bidi w:val="0"/>
              <w:spacing w:after="0" w:line="300" w:lineRule="exact"/>
              <w:ind w:left="66" w:leftChars="30" w:right="170"/>
              <w:textAlignment w:val="auto"/>
              <w:outlineLvl w:val="9"/>
              <w:rPr>
                <w:rFonts w:hint="eastAsia" w:ascii="仿宋_GB2312" w:hAnsi="仿宋_GB2312" w:eastAsia="仿宋_GB2312" w:cs="仿宋_GB2312"/>
                <w:sz w:val="21"/>
                <w:szCs w:val="21"/>
              </w:rPr>
            </w:pPr>
          </w:p>
        </w:tc>
        <w:tc>
          <w:tcPr>
            <w:tcW w:w="4111" w:type="dxa"/>
            <w:vAlign w:val="center"/>
          </w:tcPr>
          <w:p>
            <w:pPr>
              <w:pStyle w:val="20"/>
              <w:keepNext w:val="0"/>
              <w:keepLines w:val="0"/>
              <w:pageBreakBefore w:val="0"/>
              <w:kinsoku/>
              <w:wordWrap/>
              <w:overflowPunct/>
              <w:topLinePunct w:val="0"/>
              <w:bidi w:val="0"/>
              <w:spacing w:line="300" w:lineRule="exact"/>
              <w:ind w:left="66" w:leftChars="30" w:right="170"/>
              <w:jc w:val="both"/>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5"/>
                <w:sz w:val="21"/>
                <w:szCs w:val="21"/>
              </w:rPr>
              <w:t>5.3</w:t>
            </w:r>
            <w:r>
              <w:rPr>
                <w:rFonts w:hint="eastAsia" w:ascii="仿宋_GB2312" w:hAnsi="仿宋_GB2312" w:eastAsia="仿宋_GB2312" w:cs="仿宋_GB2312"/>
                <w:spacing w:val="-3"/>
                <w:w w:val="95"/>
                <w:sz w:val="21"/>
                <w:szCs w:val="21"/>
              </w:rPr>
              <w:t xml:space="preserve"> 药渣煎透度，做到三无</w:t>
            </w:r>
            <w:r>
              <w:rPr>
                <w:rFonts w:hint="eastAsia" w:ascii="仿宋_GB2312" w:hAnsi="仿宋_GB2312" w:eastAsia="仿宋_GB2312" w:cs="仿宋_GB2312"/>
                <w:w w:val="95"/>
                <w:sz w:val="21"/>
                <w:szCs w:val="21"/>
              </w:rPr>
              <w:t xml:space="preserve">（无白芯， </w:t>
            </w:r>
            <w:r>
              <w:rPr>
                <w:rFonts w:hint="eastAsia" w:ascii="仿宋_GB2312" w:hAnsi="仿宋_GB2312" w:eastAsia="仿宋_GB2312" w:cs="仿宋_GB2312"/>
                <w:sz w:val="21"/>
                <w:szCs w:val="21"/>
              </w:rPr>
              <w:t>无硬芯，无糊状）。</w:t>
            </w:r>
          </w:p>
        </w:tc>
        <w:tc>
          <w:tcPr>
            <w:tcW w:w="1748" w:type="dxa"/>
            <w:vMerge w:val="continue"/>
            <w:tcBorders>
              <w:top w:val="nil"/>
            </w:tcBorders>
            <w:vAlign w:val="center"/>
          </w:tcPr>
          <w:p>
            <w:pPr>
              <w:keepNext w:val="0"/>
              <w:keepLines w:val="0"/>
              <w:pageBreakBefore w:val="0"/>
              <w:kinsoku/>
              <w:wordWrap/>
              <w:overflowPunct/>
              <w:topLinePunct w:val="0"/>
              <w:bidi w:val="0"/>
              <w:spacing w:after="0" w:line="300" w:lineRule="exact"/>
              <w:ind w:left="66" w:leftChars="30" w:right="170"/>
              <w:jc w:val="center"/>
              <w:textAlignment w:val="auto"/>
              <w:outlineLvl w:val="9"/>
              <w:rPr>
                <w:rFonts w:hint="eastAsia" w:ascii="仿宋_GB2312" w:hAnsi="仿宋_GB2312" w:eastAsia="仿宋_GB2312" w:cs="仿宋_GB2312"/>
                <w:sz w:val="21"/>
                <w:szCs w:val="21"/>
              </w:rPr>
            </w:pPr>
          </w:p>
        </w:tc>
        <w:tc>
          <w:tcPr>
            <w:tcW w:w="4335"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不符合要求，酌情扣分。</w:t>
            </w:r>
          </w:p>
        </w:tc>
        <w:tc>
          <w:tcPr>
            <w:tcW w:w="10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p>
            <w:pPr>
              <w:pStyle w:val="20"/>
              <w:keepNext w:val="0"/>
              <w:keepLines w:val="0"/>
              <w:pageBreakBefore w:val="0"/>
              <w:kinsoku/>
              <w:wordWrap/>
              <w:overflowPunct/>
              <w:topLinePunct w:val="0"/>
              <w:bidi w:val="0"/>
              <w:spacing w:line="300" w:lineRule="exact"/>
              <w:ind w:left="66" w:leftChars="30" w:right="17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5</w:t>
            </w:r>
          </w:p>
        </w:tc>
        <w:tc>
          <w:tcPr>
            <w:tcW w:w="880"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c>
          <w:tcPr>
            <w:tcW w:w="1714" w:type="dxa"/>
          </w:tcPr>
          <w:p>
            <w:pPr>
              <w:pStyle w:val="20"/>
              <w:keepNext w:val="0"/>
              <w:keepLines w:val="0"/>
              <w:pageBreakBefore w:val="0"/>
              <w:kinsoku/>
              <w:wordWrap/>
              <w:overflowPunct/>
              <w:topLinePunct w:val="0"/>
              <w:bidi w:val="0"/>
              <w:spacing w:line="300" w:lineRule="exact"/>
              <w:ind w:left="66" w:leftChars="30" w:right="170"/>
              <w:textAlignment w:val="auto"/>
              <w:outlineLvl w:val="9"/>
              <w:rPr>
                <w:rFonts w:hint="eastAsia" w:ascii="仿宋_GB2312" w:hAnsi="仿宋_GB2312" w:eastAsia="仿宋_GB2312" w:cs="仿宋_GB2312"/>
                <w:sz w:val="21"/>
                <w:szCs w:val="21"/>
              </w:rPr>
            </w:pPr>
          </w:p>
        </w:tc>
      </w:tr>
    </w:tbl>
    <w:p>
      <w:pPr>
        <w:pStyle w:val="5"/>
        <w:rPr>
          <w:rFonts w:ascii="Times New Roman"/>
          <w:sz w:val="20"/>
        </w:rPr>
      </w:pPr>
    </w:p>
    <w:p>
      <w:pPr>
        <w:pStyle w:val="5"/>
        <w:spacing w:before="4"/>
        <w:rPr>
          <w:rFonts w:ascii="Times New Roman"/>
          <w:sz w:val="18"/>
        </w:rPr>
      </w:pPr>
    </w:p>
    <w:p>
      <w:pPr>
        <w:tabs>
          <w:tab w:val="left" w:pos="9879"/>
          <w:tab w:val="left" w:pos="12039"/>
          <w:tab w:val="left" w:pos="12759"/>
          <w:tab w:val="left" w:pos="13479"/>
        </w:tabs>
        <w:spacing w:before="68"/>
        <w:ind w:left="759"/>
        <w:rPr>
          <w:sz w:val="24"/>
        </w:rPr>
      </w:pPr>
      <w:r>
        <w:rPr>
          <w:sz w:val="24"/>
        </w:rPr>
        <w:t>专家签名：</w:t>
      </w:r>
      <w:r>
        <w:rPr>
          <w:sz w:val="24"/>
        </w:rPr>
        <w:tab/>
      </w:r>
      <w:r>
        <w:rPr>
          <w:sz w:val="24"/>
        </w:rPr>
        <w:t>检查时间：</w:t>
      </w:r>
      <w:r>
        <w:rPr>
          <w:sz w:val="24"/>
        </w:rPr>
        <w:tab/>
      </w:r>
      <w:r>
        <w:rPr>
          <w:sz w:val="24"/>
        </w:rPr>
        <w:t>年</w:t>
      </w:r>
      <w:r>
        <w:rPr>
          <w:sz w:val="24"/>
        </w:rPr>
        <w:tab/>
      </w:r>
      <w:r>
        <w:rPr>
          <w:sz w:val="24"/>
        </w:rPr>
        <w:t>月</w:t>
      </w:r>
      <w:r>
        <w:rPr>
          <w:sz w:val="24"/>
        </w:rPr>
        <w:tab/>
      </w:r>
      <w:r>
        <w:rPr>
          <w:sz w:val="24"/>
        </w:rPr>
        <w:t>日</w:t>
      </w:r>
    </w:p>
    <w:p>
      <w:pPr>
        <w:rPr>
          <w:sz w:val="24"/>
        </w:rPr>
        <w:sectPr>
          <w:footerReference r:id="rId9" w:type="default"/>
          <w:pgSz w:w="16838" w:h="11911" w:orient="landscape"/>
          <w:pgMar w:top="1701" w:right="1417" w:bottom="1417" w:left="1417" w:header="850" w:footer="992" w:gutter="0"/>
          <w:pgNumType w:fmt="decimal"/>
          <w:cols w:space="0" w:num="1"/>
          <w:rtlGutter w:val="0"/>
          <w:docGrid w:linePitch="0" w:charSpace="0"/>
        </w:sectPr>
      </w:pPr>
    </w:p>
    <w:p>
      <w:pPr>
        <w:keepNext w:val="0"/>
        <w:keepLines w:val="0"/>
        <w:pageBreakBefore w:val="0"/>
        <w:kinsoku/>
        <w:wordWrap/>
        <w:overflowPunct/>
        <w:topLinePunct w:val="0"/>
        <w:bidi w:val="0"/>
        <w:spacing w:after="0" w:line="520" w:lineRule="exact"/>
        <w:textAlignment w:val="auto"/>
        <w:rPr>
          <w:rFonts w:hint="eastAsia" w:ascii="黑体" w:hAnsi="黑体" w:eastAsia="黑体" w:cs="黑体"/>
          <w:sz w:val="32"/>
          <w:lang w:eastAsia="zh-CN"/>
        </w:rPr>
        <w:sectPr>
          <w:pgSz w:w="16838" w:h="11911" w:orient="landscape"/>
          <w:pgMar w:top="1701" w:right="1417" w:bottom="1417" w:left="1417" w:header="850" w:footer="992" w:gutter="0"/>
          <w:pgNumType w:fmt="decimal"/>
          <w:cols w:space="0" w:num="1"/>
          <w:rtlGutter w:val="0"/>
          <w:docGrid w:linePitch="0" w:charSpace="0"/>
        </w:sectPr>
      </w:pPr>
      <w:r>
        <w:rPr>
          <w:rFonts w:hint="eastAsia" w:ascii="黑体" w:hAnsi="黑体" w:eastAsia="黑体" w:cs="黑体"/>
          <w:sz w:val="32"/>
        </w:rPr>
        <w:t>附件</w:t>
      </w:r>
      <w:r>
        <w:rPr>
          <w:rFonts w:hint="eastAsia" w:ascii="黑体" w:hAnsi="黑体" w:eastAsia="黑体" w:cs="黑体"/>
          <w:sz w:val="32"/>
          <w:lang w:val="en-US" w:eastAsia="zh-CN"/>
        </w:rPr>
        <w:t>4</w:t>
      </w:r>
    </w:p>
    <w:p>
      <w:pPr>
        <w:pStyle w:val="19"/>
        <w:keepNext w:val="0"/>
        <w:keepLines w:val="0"/>
        <w:pageBreakBefore w:val="0"/>
        <w:kinsoku/>
        <w:wordWrap/>
        <w:overflowPunct/>
        <w:topLinePunct w:val="0"/>
        <w:bidi w:val="0"/>
        <w:spacing w:after="0" w:line="52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中药煎药质量控制和监测工作考核表</w:t>
      </w:r>
    </w:p>
    <w:p>
      <w:pPr>
        <w:keepNext w:val="0"/>
        <w:keepLines w:val="0"/>
        <w:pageBreakBefore w:val="0"/>
        <w:kinsoku/>
        <w:wordWrap/>
        <w:overflowPunct/>
        <w:topLinePunct w:val="0"/>
        <w:bidi w:val="0"/>
        <w:spacing w:after="0" w:line="560" w:lineRule="exact"/>
        <w:jc w:val="center"/>
        <w:textAlignment w:val="auto"/>
        <w:rPr>
          <w:rFonts w:hint="eastAsia" w:ascii="方正小标宋简体" w:hAnsi="方正小标宋简体" w:eastAsia="方正小标宋简体" w:cs="方正小标宋简体"/>
          <w:sz w:val="44"/>
          <w:szCs w:val="44"/>
        </w:rPr>
        <w:sectPr>
          <w:type w:val="continuous"/>
          <w:pgSz w:w="16838" w:h="11911" w:orient="landscape"/>
          <w:pgMar w:top="1701" w:right="1417" w:bottom="1417" w:left="1417" w:header="850" w:footer="992" w:gutter="0"/>
          <w:pgNumType w:fmt="decimal"/>
          <w:cols w:space="0" w:num="1"/>
          <w:rtlGutter w:val="0"/>
          <w:docGrid w:linePitch="0" w:charSpace="0"/>
        </w:sectPr>
      </w:pPr>
    </w:p>
    <w:p>
      <w:pPr>
        <w:keepNext w:val="0"/>
        <w:keepLines w:val="0"/>
        <w:pageBreakBefore w:val="0"/>
        <w:widowControl/>
        <w:tabs>
          <w:tab w:val="left" w:pos="12354"/>
        </w:tabs>
        <w:kinsoku/>
        <w:wordWrap/>
        <w:overflowPunct/>
        <w:topLinePunct w:val="0"/>
        <w:autoSpaceDE/>
        <w:autoSpaceDN/>
        <w:bidi w:val="0"/>
        <w:adjustRightInd w:val="0"/>
        <w:snapToGrid w:val="0"/>
        <w:spacing w:after="0"/>
        <w:ind w:left="351"/>
        <w:textAlignment w:val="auto"/>
        <w:outlineLvl w:val="9"/>
        <w:rPr>
          <w:sz w:val="24"/>
        </w:rPr>
      </w:pPr>
      <w:r>
        <w:rPr>
          <w:sz w:val="24"/>
        </w:rPr>
        <w:t>单位：</w:t>
      </w:r>
      <w:r>
        <w:rPr>
          <w:sz w:val="24"/>
        </w:rPr>
        <w:tab/>
      </w:r>
      <w:r>
        <w:rPr>
          <w:sz w:val="24"/>
        </w:rPr>
        <w:t>总分：</w:t>
      </w:r>
    </w:p>
    <w:tbl>
      <w:tblPr>
        <w:tblStyle w:val="21"/>
        <w:tblW w:w="155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2"/>
        <w:gridCol w:w="1159"/>
        <w:gridCol w:w="940"/>
        <w:gridCol w:w="6580"/>
        <w:gridCol w:w="4228"/>
        <w:gridCol w:w="1216"/>
        <w:gridCol w:w="7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732" w:type="dxa"/>
            <w:vAlign w:val="center"/>
          </w:tcPr>
          <w:p>
            <w:pPr>
              <w:pStyle w:val="20"/>
              <w:spacing w:before="15" w:line="280" w:lineRule="exact"/>
              <w:ind w:left="136" w:right="126"/>
              <w:jc w:val="center"/>
              <w:rPr>
                <w:rFonts w:hint="eastAsia" w:ascii="黑体" w:hAnsi="黑体" w:eastAsia="黑体" w:cs="黑体"/>
                <w:sz w:val="21"/>
                <w:szCs w:val="21"/>
              </w:rPr>
            </w:pPr>
            <w:r>
              <w:rPr>
                <w:rFonts w:hint="eastAsia" w:ascii="黑体" w:hAnsi="黑体" w:eastAsia="黑体" w:cs="黑体"/>
                <w:sz w:val="21"/>
                <w:szCs w:val="21"/>
              </w:rPr>
              <w:t>序号</w:t>
            </w:r>
          </w:p>
        </w:tc>
        <w:tc>
          <w:tcPr>
            <w:tcW w:w="1159" w:type="dxa"/>
            <w:vAlign w:val="center"/>
          </w:tcPr>
          <w:p>
            <w:pPr>
              <w:pStyle w:val="20"/>
              <w:spacing w:before="135"/>
              <w:ind w:right="205"/>
              <w:jc w:val="center"/>
              <w:rPr>
                <w:rFonts w:hint="eastAsia" w:ascii="黑体" w:hAnsi="黑体" w:eastAsia="黑体" w:cs="黑体"/>
                <w:sz w:val="21"/>
                <w:szCs w:val="21"/>
              </w:rPr>
            </w:pPr>
            <w:r>
              <w:rPr>
                <w:rFonts w:hint="eastAsia" w:ascii="黑体" w:hAnsi="黑体" w:eastAsia="黑体" w:cs="黑体"/>
                <w:sz w:val="21"/>
                <w:szCs w:val="21"/>
              </w:rPr>
              <w:t>评分项目</w:t>
            </w:r>
          </w:p>
        </w:tc>
        <w:tc>
          <w:tcPr>
            <w:tcW w:w="940" w:type="dxa"/>
          </w:tcPr>
          <w:p>
            <w:pPr>
              <w:pStyle w:val="20"/>
              <w:spacing w:before="135"/>
              <w:ind w:left="51" w:right="42"/>
              <w:jc w:val="center"/>
              <w:rPr>
                <w:rFonts w:hint="eastAsia" w:ascii="黑体" w:hAnsi="黑体" w:eastAsia="黑体" w:cs="黑体"/>
                <w:sz w:val="21"/>
                <w:szCs w:val="21"/>
              </w:rPr>
            </w:pPr>
            <w:r>
              <w:rPr>
                <w:rFonts w:hint="eastAsia" w:ascii="黑体" w:hAnsi="黑体" w:eastAsia="黑体" w:cs="黑体"/>
                <w:w w:val="105"/>
                <w:sz w:val="21"/>
                <w:szCs w:val="21"/>
              </w:rPr>
              <w:t>标准分</w:t>
            </w:r>
          </w:p>
        </w:tc>
        <w:tc>
          <w:tcPr>
            <w:tcW w:w="6580" w:type="dxa"/>
          </w:tcPr>
          <w:p>
            <w:pPr>
              <w:pStyle w:val="20"/>
              <w:spacing w:before="135"/>
              <w:ind w:left="2419" w:right="2411"/>
              <w:jc w:val="center"/>
              <w:rPr>
                <w:rFonts w:hint="eastAsia" w:ascii="黑体" w:hAnsi="黑体" w:eastAsia="黑体" w:cs="黑体"/>
                <w:sz w:val="21"/>
                <w:szCs w:val="21"/>
              </w:rPr>
            </w:pPr>
            <w:r>
              <w:rPr>
                <w:rFonts w:hint="eastAsia" w:ascii="黑体" w:hAnsi="黑体" w:eastAsia="黑体" w:cs="黑体"/>
                <w:sz w:val="21"/>
                <w:szCs w:val="21"/>
              </w:rPr>
              <w:t>评分标准</w:t>
            </w:r>
          </w:p>
        </w:tc>
        <w:tc>
          <w:tcPr>
            <w:tcW w:w="4228" w:type="dxa"/>
          </w:tcPr>
          <w:p>
            <w:pPr>
              <w:pStyle w:val="20"/>
              <w:spacing w:before="135"/>
              <w:ind w:left="1140"/>
              <w:rPr>
                <w:rFonts w:hint="eastAsia" w:ascii="黑体" w:hAnsi="黑体" w:eastAsia="黑体" w:cs="黑体"/>
                <w:sz w:val="21"/>
                <w:szCs w:val="21"/>
              </w:rPr>
            </w:pPr>
            <w:r>
              <w:rPr>
                <w:rFonts w:hint="eastAsia" w:ascii="黑体" w:hAnsi="黑体" w:eastAsia="黑体" w:cs="黑体"/>
                <w:sz w:val="21"/>
                <w:szCs w:val="21"/>
              </w:rPr>
              <w:t>评分方法及扣分</w:t>
            </w:r>
          </w:p>
        </w:tc>
        <w:tc>
          <w:tcPr>
            <w:tcW w:w="1216" w:type="dxa"/>
          </w:tcPr>
          <w:p>
            <w:pPr>
              <w:pStyle w:val="20"/>
              <w:spacing w:before="135"/>
              <w:ind w:left="90"/>
              <w:rPr>
                <w:rFonts w:hint="eastAsia" w:ascii="黑体" w:hAnsi="黑体" w:eastAsia="黑体" w:cs="黑体"/>
                <w:sz w:val="21"/>
                <w:szCs w:val="21"/>
              </w:rPr>
            </w:pPr>
            <w:r>
              <w:rPr>
                <w:rFonts w:hint="eastAsia" w:ascii="黑体" w:hAnsi="黑体" w:eastAsia="黑体" w:cs="黑体"/>
                <w:sz w:val="21"/>
                <w:szCs w:val="21"/>
              </w:rPr>
              <w:t>扣分原因</w:t>
            </w:r>
          </w:p>
        </w:tc>
        <w:tc>
          <w:tcPr>
            <w:tcW w:w="705" w:type="dxa"/>
          </w:tcPr>
          <w:p>
            <w:pPr>
              <w:pStyle w:val="20"/>
              <w:spacing w:before="135"/>
              <w:ind w:left="90"/>
              <w:rPr>
                <w:rFonts w:hint="eastAsia" w:ascii="黑体" w:hAnsi="黑体" w:eastAsia="黑体" w:cs="黑体"/>
                <w:sz w:val="21"/>
                <w:szCs w:val="21"/>
              </w:rPr>
            </w:pPr>
            <w:r>
              <w:rPr>
                <w:rFonts w:hint="eastAsia" w:ascii="黑体" w:hAnsi="黑体" w:eastAsia="黑体" w:cs="黑体"/>
                <w:sz w:val="21"/>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jc w:val="center"/>
        </w:trPr>
        <w:tc>
          <w:tcPr>
            <w:tcW w:w="732" w:type="dxa"/>
            <w:vAlign w:val="center"/>
          </w:tcPr>
          <w:p>
            <w:pPr>
              <w:pStyle w:val="20"/>
              <w:spacing w:before="45" w:line="249" w:lineRule="exact"/>
              <w:ind w:left="28"/>
              <w:jc w:val="center"/>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1</w:t>
            </w:r>
          </w:p>
        </w:tc>
        <w:tc>
          <w:tcPr>
            <w:tcW w:w="1159" w:type="dxa"/>
            <w:vAlign w:val="center"/>
          </w:tcPr>
          <w:p>
            <w:pPr>
              <w:pStyle w:val="20"/>
              <w:spacing w:before="45" w:line="249" w:lineRule="exact"/>
              <w:ind w:right="265"/>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煎药场所</w:t>
            </w:r>
          </w:p>
        </w:tc>
        <w:tc>
          <w:tcPr>
            <w:tcW w:w="940" w:type="dxa"/>
            <w:vAlign w:val="center"/>
          </w:tcPr>
          <w:p>
            <w:pPr>
              <w:pStyle w:val="20"/>
              <w:spacing w:before="45" w:line="249" w:lineRule="exact"/>
              <w:ind w:left="51" w:right="42"/>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10</w:t>
            </w:r>
          </w:p>
        </w:tc>
        <w:tc>
          <w:tcPr>
            <w:tcW w:w="6580" w:type="dxa"/>
          </w:tcPr>
          <w:p>
            <w:pPr>
              <w:pStyle w:val="20"/>
              <w:spacing w:before="45" w:line="249" w:lineRule="exact"/>
              <w:ind w:left="85"/>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整洁、明亮、有序。有定期消毒记录。</w:t>
            </w:r>
          </w:p>
        </w:tc>
        <w:tc>
          <w:tcPr>
            <w:tcW w:w="4228" w:type="dxa"/>
            <w:vAlign w:val="center"/>
          </w:tcPr>
          <w:p>
            <w:pPr>
              <w:pStyle w:val="20"/>
              <w:spacing w:before="45" w:line="249"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基本符合扣 3 分</w:t>
            </w:r>
            <w:r>
              <w:rPr>
                <w:rFonts w:hint="eastAsia" w:ascii="仿宋_GB2312" w:hAnsi="仿宋_GB2312" w:eastAsia="仿宋_GB2312" w:cs="仿宋_GB2312"/>
                <w:w w:val="85"/>
                <w:sz w:val="21"/>
                <w:szCs w:val="21"/>
                <w:lang w:eastAsia="zh-CN"/>
              </w:rPr>
              <w:t>，</w:t>
            </w:r>
            <w:r>
              <w:rPr>
                <w:rFonts w:hint="eastAsia" w:ascii="仿宋_GB2312" w:hAnsi="仿宋_GB2312" w:eastAsia="仿宋_GB2312" w:cs="仿宋_GB2312"/>
                <w:sz w:val="21"/>
                <w:szCs w:val="21"/>
              </w:rPr>
              <w:t>环境脏乱扣 10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Align w:val="center"/>
          </w:tcPr>
          <w:p>
            <w:pPr>
              <w:pStyle w:val="20"/>
              <w:spacing w:before="45" w:line="250" w:lineRule="exact"/>
              <w:ind w:left="6"/>
              <w:jc w:val="center"/>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2</w:t>
            </w:r>
          </w:p>
        </w:tc>
        <w:tc>
          <w:tcPr>
            <w:tcW w:w="1159" w:type="dxa"/>
            <w:vAlign w:val="center"/>
          </w:tcPr>
          <w:p>
            <w:pPr>
              <w:pStyle w:val="20"/>
              <w:spacing w:before="45" w:line="250" w:lineRule="exact"/>
              <w:ind w:right="265"/>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煎煮容器</w:t>
            </w:r>
          </w:p>
        </w:tc>
        <w:tc>
          <w:tcPr>
            <w:tcW w:w="940" w:type="dxa"/>
            <w:vAlign w:val="center"/>
          </w:tcPr>
          <w:p>
            <w:pPr>
              <w:pStyle w:val="20"/>
              <w:spacing w:before="45" w:line="250" w:lineRule="exact"/>
              <w:ind w:left="51" w:right="42"/>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10</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必须清洗干净。</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10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Align w:val="center"/>
          </w:tcPr>
          <w:p>
            <w:pPr>
              <w:pStyle w:val="20"/>
              <w:spacing w:before="45" w:line="250" w:lineRule="exact"/>
              <w:ind w:left="6"/>
              <w:jc w:val="center"/>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3</w:t>
            </w:r>
          </w:p>
        </w:tc>
        <w:tc>
          <w:tcPr>
            <w:tcW w:w="1159" w:type="dxa"/>
            <w:vAlign w:val="center"/>
          </w:tcPr>
          <w:p>
            <w:pPr>
              <w:pStyle w:val="20"/>
              <w:spacing w:before="45" w:line="250" w:lineRule="exact"/>
              <w:ind w:right="265"/>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煎药人员</w:t>
            </w:r>
          </w:p>
        </w:tc>
        <w:tc>
          <w:tcPr>
            <w:tcW w:w="940" w:type="dxa"/>
            <w:vAlign w:val="center"/>
          </w:tcPr>
          <w:p>
            <w:pPr>
              <w:pStyle w:val="20"/>
              <w:spacing w:before="45" w:line="250" w:lineRule="exact"/>
              <w:ind w:left="51" w:right="42"/>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10</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应当注意个人卫生</w:t>
            </w:r>
            <w:r>
              <w:rPr>
                <w:rFonts w:hint="eastAsia" w:ascii="仿宋_GB2312" w:hAnsi="仿宋_GB2312" w:eastAsia="仿宋_GB2312" w:cs="仿宋_GB2312"/>
                <w:w w:val="80"/>
                <w:sz w:val="21"/>
                <w:szCs w:val="21"/>
                <w:lang w:eastAsia="zh-CN"/>
              </w:rPr>
              <w:t>，</w:t>
            </w:r>
            <w:r>
              <w:rPr>
                <w:rFonts w:hint="eastAsia" w:ascii="仿宋_GB2312" w:hAnsi="仿宋_GB2312" w:eastAsia="仿宋_GB2312" w:cs="仿宋_GB2312"/>
                <w:w w:val="80"/>
                <w:sz w:val="21"/>
                <w:szCs w:val="21"/>
              </w:rPr>
              <w:t xml:space="preserve"> </w:t>
            </w:r>
            <w:r>
              <w:rPr>
                <w:rFonts w:hint="eastAsia" w:ascii="仿宋_GB2312" w:hAnsi="仿宋_GB2312" w:eastAsia="仿宋_GB2312" w:cs="仿宋_GB2312"/>
                <w:sz w:val="21"/>
                <w:szCs w:val="21"/>
              </w:rPr>
              <w:t>穿戴专用的工作服并保持工作服清洁。</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基本符合扣 3 分</w:t>
            </w:r>
            <w:r>
              <w:rPr>
                <w:rFonts w:hint="eastAsia" w:ascii="仿宋_GB2312" w:hAnsi="仿宋_GB2312" w:eastAsia="仿宋_GB2312" w:cs="仿宋_GB2312"/>
                <w:w w:val="85"/>
                <w:sz w:val="21"/>
                <w:szCs w:val="21"/>
                <w:lang w:eastAsia="zh-CN"/>
              </w:rPr>
              <w:t>，</w:t>
            </w:r>
            <w:r>
              <w:rPr>
                <w:rFonts w:hint="eastAsia" w:ascii="仿宋_GB2312" w:hAnsi="仿宋_GB2312" w:eastAsia="仿宋_GB2312" w:cs="仿宋_GB2312"/>
                <w:w w:val="85"/>
                <w:sz w:val="21"/>
                <w:szCs w:val="21"/>
              </w:rPr>
              <w:t xml:space="preserve"> </w:t>
            </w:r>
            <w:r>
              <w:rPr>
                <w:rFonts w:hint="eastAsia" w:ascii="仿宋_GB2312" w:hAnsi="仿宋_GB2312" w:eastAsia="仿宋_GB2312" w:cs="仿宋_GB2312"/>
                <w:sz w:val="21"/>
                <w:szCs w:val="21"/>
              </w:rPr>
              <w:t>不符合扣 10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Merge w:val="restart"/>
            <w:vAlign w:val="center"/>
          </w:tcPr>
          <w:p>
            <w:pPr>
              <w:pStyle w:val="20"/>
              <w:spacing w:before="1"/>
              <w:ind w:left="6"/>
              <w:jc w:val="center"/>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4</w:t>
            </w:r>
          </w:p>
        </w:tc>
        <w:tc>
          <w:tcPr>
            <w:tcW w:w="1159" w:type="dxa"/>
            <w:vMerge w:val="restart"/>
            <w:vAlign w:val="center"/>
          </w:tcPr>
          <w:p>
            <w:pPr>
              <w:pStyle w:val="20"/>
              <w:spacing w:before="1"/>
              <w:ind w:left="275"/>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煎药操作</w:t>
            </w:r>
          </w:p>
        </w:tc>
        <w:tc>
          <w:tcPr>
            <w:tcW w:w="940" w:type="dxa"/>
            <w:vAlign w:val="center"/>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⑴待煎药物应当先行浸泡，浸泡时间不少于 30 分钟。</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⑵每剂药严格按煎药标准操作流程进行。</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⑶煎煮时间应当根据医嘱和药物的功效确定</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45" w:line="249"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49"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⑷煎药量应当根据儿童和成人分别确定或根据医嘱。</w:t>
            </w:r>
          </w:p>
        </w:tc>
        <w:tc>
          <w:tcPr>
            <w:tcW w:w="4228" w:type="dxa"/>
            <w:vAlign w:val="center"/>
          </w:tcPr>
          <w:p>
            <w:pPr>
              <w:pStyle w:val="20"/>
              <w:spacing w:before="45" w:line="249"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⑸特殊煎煮的需按处方要求执行。</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pacing w:val="-11"/>
                <w:sz w:val="21"/>
                <w:szCs w:val="21"/>
              </w:rPr>
              <w:t>⑹煎后药渣应“三无”</w:t>
            </w:r>
            <w:r>
              <w:rPr>
                <w:rFonts w:hint="eastAsia" w:ascii="仿宋_GB2312" w:hAnsi="仿宋_GB2312" w:eastAsia="仿宋_GB2312" w:cs="仿宋_GB2312"/>
                <w:spacing w:val="-2"/>
                <w:sz w:val="21"/>
                <w:szCs w:val="21"/>
              </w:rPr>
              <w:t>（</w:t>
            </w:r>
            <w:r>
              <w:rPr>
                <w:rFonts w:hint="eastAsia" w:ascii="仿宋_GB2312" w:hAnsi="仿宋_GB2312" w:eastAsia="仿宋_GB2312" w:cs="仿宋_GB2312"/>
                <w:sz w:val="21"/>
                <w:szCs w:val="21"/>
              </w:rPr>
              <w:t>无糊状、无白心、无硬心）</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⑺内服药与外用药应当使用不同的标识区分</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⑻煎剂包装材料应符合药用要求。</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有防止混药的措施</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无措施扣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154"/>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15" w:line="260" w:lineRule="exact"/>
              <w:ind w:left="85" w:right="74"/>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使用煎药机煎煮中药，煎出的药液量应当与方剂的剂量相符， 分装剂量应当均匀，无色差。</w:t>
            </w:r>
          </w:p>
        </w:tc>
        <w:tc>
          <w:tcPr>
            <w:tcW w:w="4228" w:type="dxa"/>
            <w:vAlign w:val="center"/>
          </w:tcPr>
          <w:p>
            <w:pPr>
              <w:pStyle w:val="20"/>
              <w:spacing w:before="45"/>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jc w:val="center"/>
        </w:trPr>
        <w:tc>
          <w:tcPr>
            <w:tcW w:w="732" w:type="dxa"/>
            <w:vMerge w:val="restart"/>
            <w:vAlign w:val="center"/>
          </w:tcPr>
          <w:p>
            <w:pPr>
              <w:pStyle w:val="20"/>
              <w:spacing w:before="164"/>
              <w:ind w:left="6"/>
              <w:jc w:val="center"/>
              <w:rPr>
                <w:rFonts w:hint="eastAsia" w:ascii="仿宋_GB2312" w:hAnsi="仿宋_GB2312" w:eastAsia="仿宋_GB2312" w:cs="仿宋_GB2312"/>
                <w:sz w:val="21"/>
                <w:szCs w:val="21"/>
              </w:rPr>
            </w:pPr>
            <w:r>
              <w:rPr>
                <w:rFonts w:hint="eastAsia" w:ascii="仿宋_GB2312" w:hAnsi="仿宋_GB2312" w:eastAsia="仿宋_GB2312" w:cs="仿宋_GB2312"/>
                <w:w w:val="99"/>
                <w:sz w:val="21"/>
                <w:szCs w:val="21"/>
              </w:rPr>
              <w:t>5</w:t>
            </w:r>
          </w:p>
        </w:tc>
        <w:tc>
          <w:tcPr>
            <w:tcW w:w="1159" w:type="dxa"/>
            <w:vMerge w:val="restart"/>
            <w:vAlign w:val="center"/>
          </w:tcPr>
          <w:p>
            <w:pPr>
              <w:pStyle w:val="20"/>
              <w:spacing w:before="164"/>
              <w:ind w:left="65"/>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煎药服务</w:t>
            </w:r>
          </w:p>
          <w:p>
            <w:pPr>
              <w:pStyle w:val="20"/>
              <w:spacing w:before="164"/>
              <w:ind w:left="65"/>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管理</w:t>
            </w:r>
          </w:p>
        </w:tc>
        <w:tc>
          <w:tcPr>
            <w:tcW w:w="940" w:type="dxa"/>
            <w:vAlign w:val="center"/>
          </w:tcPr>
          <w:p>
            <w:pPr>
              <w:pStyle w:val="20"/>
              <w:spacing w:before="154"/>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15" w:line="260" w:lineRule="exact"/>
              <w:ind w:left="85" w:right="74"/>
              <w:jc w:val="both"/>
              <w:rPr>
                <w:rFonts w:hint="eastAsia" w:ascii="仿宋_GB2312" w:hAnsi="仿宋_GB2312" w:eastAsia="仿宋_GB2312" w:cs="仿宋_GB2312"/>
                <w:sz w:val="21"/>
                <w:szCs w:val="21"/>
              </w:rPr>
            </w:pPr>
            <w:r>
              <w:rPr>
                <w:rFonts w:hint="eastAsia" w:ascii="仿宋_GB2312" w:hAnsi="仿宋_GB2312" w:eastAsia="仿宋_GB2312" w:cs="仿宋_GB2312"/>
                <w:spacing w:val="-10"/>
                <w:sz w:val="21"/>
                <w:szCs w:val="21"/>
              </w:rPr>
              <w:t>⑴煎药、送药、发药时应当认真核对处方</w:t>
            </w:r>
            <w:r>
              <w:rPr>
                <w:rFonts w:hint="eastAsia" w:ascii="仿宋_GB2312" w:hAnsi="仿宋_GB2312" w:eastAsia="仿宋_GB2312" w:cs="仿宋_GB2312"/>
                <w:sz w:val="21"/>
                <w:szCs w:val="21"/>
              </w:rPr>
              <w:t>（或煎药凭证</w:t>
            </w:r>
            <w:r>
              <w:rPr>
                <w:rFonts w:hint="eastAsia" w:ascii="仿宋_GB2312" w:hAnsi="仿宋_GB2312" w:eastAsia="仿宋_GB2312" w:cs="仿宋_GB2312"/>
                <w:spacing w:val="-66"/>
                <w:sz w:val="21"/>
                <w:szCs w:val="21"/>
              </w:rPr>
              <w:t>）</w:t>
            </w:r>
            <w:r>
              <w:rPr>
                <w:rFonts w:hint="eastAsia" w:ascii="仿宋_GB2312" w:hAnsi="仿宋_GB2312" w:eastAsia="仿宋_GB2312" w:cs="仿宋_GB2312"/>
                <w:spacing w:val="-28"/>
                <w:sz w:val="21"/>
                <w:szCs w:val="21"/>
              </w:rPr>
              <w:t>，有收</w:t>
            </w:r>
            <w:r>
              <w:rPr>
                <w:rFonts w:hint="eastAsia" w:ascii="仿宋_GB2312" w:hAnsi="仿宋_GB2312" w:eastAsia="仿宋_GB2312" w:cs="仿宋_GB2312"/>
                <w:sz w:val="21"/>
                <w:szCs w:val="21"/>
              </w:rPr>
              <w:t>发记录。</w:t>
            </w:r>
          </w:p>
        </w:tc>
        <w:tc>
          <w:tcPr>
            <w:tcW w:w="4228" w:type="dxa"/>
            <w:vAlign w:val="center"/>
          </w:tcPr>
          <w:p>
            <w:pPr>
              <w:pStyle w:val="20"/>
              <w:spacing w:before="45"/>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right="-44"/>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⑵急诊中药调剂煎煮时间≤2</w:t>
            </w:r>
            <w:r>
              <w:rPr>
                <w:rFonts w:hint="eastAsia" w:ascii="仿宋_GB2312" w:hAnsi="仿宋_GB2312" w:eastAsia="仿宋_GB2312" w:cs="仿宋_GB2312"/>
                <w:spacing w:val="-11"/>
                <w:sz w:val="21"/>
                <w:szCs w:val="21"/>
              </w:rPr>
              <w:t xml:space="preserve"> 小时，在医疗机构实施代煎服务。</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询问医、护、病三方人员。不符合扣 5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jc w:val="center"/>
        </w:trPr>
        <w:tc>
          <w:tcPr>
            <w:tcW w:w="732"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1159" w:type="dxa"/>
            <w:vMerge w:val="continue"/>
            <w:tcBorders>
              <w:top w:val="nil"/>
            </w:tcBorders>
            <w:vAlign w:val="center"/>
          </w:tcPr>
          <w:p>
            <w:pPr>
              <w:spacing w:after="0"/>
              <w:jc w:val="center"/>
              <w:rPr>
                <w:rFonts w:hint="eastAsia" w:ascii="仿宋_GB2312" w:hAnsi="仿宋_GB2312" w:eastAsia="仿宋_GB2312" w:cs="仿宋_GB2312"/>
                <w:sz w:val="21"/>
                <w:szCs w:val="21"/>
              </w:rPr>
            </w:pPr>
          </w:p>
        </w:tc>
        <w:tc>
          <w:tcPr>
            <w:tcW w:w="940" w:type="dxa"/>
            <w:vAlign w:val="center"/>
          </w:tcPr>
          <w:p>
            <w:pPr>
              <w:pStyle w:val="20"/>
              <w:spacing w:before="195"/>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14" w:line="300" w:lineRule="atLeast"/>
              <w:ind w:left="85" w:right="74"/>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⑶传染病病人的盛药器具原则上应当使用一次性用品，用后按照医疗废物进行管理和处置。</w:t>
            </w:r>
          </w:p>
        </w:tc>
        <w:tc>
          <w:tcPr>
            <w:tcW w:w="4228" w:type="dxa"/>
            <w:vAlign w:val="center"/>
          </w:tcPr>
          <w:p>
            <w:pPr>
              <w:pStyle w:val="20"/>
              <w:jc w:val="both"/>
              <w:rPr>
                <w:rFonts w:hint="eastAsia" w:ascii="仿宋_GB2312" w:hAnsi="仿宋_GB2312" w:eastAsia="仿宋_GB2312" w:cs="仿宋_GB2312"/>
                <w:sz w:val="21"/>
                <w:szCs w:val="21"/>
              </w:rPr>
            </w:pP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jc w:val="center"/>
        </w:trPr>
        <w:tc>
          <w:tcPr>
            <w:tcW w:w="732" w:type="dxa"/>
            <w:vMerge w:val="continue"/>
            <w:tcBorders>
              <w:top w:val="nil"/>
            </w:tcBorders>
          </w:tcPr>
          <w:p>
            <w:pPr>
              <w:spacing w:after="0"/>
              <w:rPr>
                <w:rFonts w:hint="eastAsia" w:ascii="仿宋_GB2312" w:hAnsi="仿宋_GB2312" w:eastAsia="仿宋_GB2312" w:cs="仿宋_GB2312"/>
                <w:sz w:val="21"/>
                <w:szCs w:val="21"/>
              </w:rPr>
            </w:pPr>
          </w:p>
        </w:tc>
        <w:tc>
          <w:tcPr>
            <w:tcW w:w="1159" w:type="dxa"/>
            <w:vMerge w:val="continue"/>
            <w:tcBorders>
              <w:top w:val="nil"/>
            </w:tcBorders>
          </w:tcPr>
          <w:p>
            <w:pPr>
              <w:spacing w:after="0"/>
              <w:rPr>
                <w:rFonts w:hint="eastAsia" w:ascii="仿宋_GB2312" w:hAnsi="仿宋_GB2312" w:eastAsia="仿宋_GB2312" w:cs="仿宋_GB2312"/>
                <w:sz w:val="21"/>
                <w:szCs w:val="21"/>
              </w:rPr>
            </w:pPr>
          </w:p>
        </w:tc>
        <w:tc>
          <w:tcPr>
            <w:tcW w:w="940" w:type="dxa"/>
          </w:tcPr>
          <w:p>
            <w:pPr>
              <w:pStyle w:val="20"/>
              <w:spacing w:before="45" w:line="250" w:lineRule="exact"/>
              <w:ind w:left="9"/>
              <w:jc w:val="center"/>
              <w:rPr>
                <w:rFonts w:hint="eastAsia" w:ascii="仿宋_GB2312" w:hAnsi="仿宋_GB2312" w:eastAsia="仿宋_GB2312" w:cs="仿宋_GB2312"/>
                <w:sz w:val="21"/>
                <w:szCs w:val="21"/>
              </w:rPr>
            </w:pPr>
            <w:r>
              <w:rPr>
                <w:rFonts w:hint="eastAsia" w:ascii="仿宋_GB2312" w:hAnsi="仿宋_GB2312" w:eastAsia="仿宋_GB2312" w:cs="仿宋_GB2312"/>
                <w:w w:val="105"/>
                <w:sz w:val="21"/>
                <w:szCs w:val="21"/>
              </w:rPr>
              <w:t>5</w:t>
            </w:r>
          </w:p>
        </w:tc>
        <w:tc>
          <w:tcPr>
            <w:tcW w:w="6580" w:type="dxa"/>
            <w:vAlign w:val="center"/>
          </w:tcPr>
          <w:p>
            <w:pPr>
              <w:pStyle w:val="20"/>
              <w:spacing w:before="45" w:line="250" w:lineRule="exact"/>
              <w:ind w:left="8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⑷住院病人中药无漏煎、漏送、错发现象。</w:t>
            </w:r>
          </w:p>
        </w:tc>
        <w:tc>
          <w:tcPr>
            <w:tcW w:w="4228" w:type="dxa"/>
            <w:vAlign w:val="center"/>
          </w:tcPr>
          <w:p>
            <w:pPr>
              <w:pStyle w:val="20"/>
              <w:spacing w:before="45" w:line="250" w:lineRule="exact"/>
              <w:ind w:left="15"/>
              <w:jc w:val="both"/>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漏煎（或漏送、）扣 1 分；错发扣 4 分</w:t>
            </w:r>
          </w:p>
        </w:tc>
        <w:tc>
          <w:tcPr>
            <w:tcW w:w="1216" w:type="dxa"/>
          </w:tcPr>
          <w:p>
            <w:pPr>
              <w:pStyle w:val="20"/>
              <w:rPr>
                <w:rFonts w:hint="eastAsia" w:ascii="仿宋_GB2312" w:hAnsi="仿宋_GB2312" w:eastAsia="仿宋_GB2312" w:cs="仿宋_GB2312"/>
                <w:sz w:val="21"/>
                <w:szCs w:val="21"/>
              </w:rPr>
            </w:pPr>
          </w:p>
        </w:tc>
        <w:tc>
          <w:tcPr>
            <w:tcW w:w="705" w:type="dxa"/>
          </w:tcPr>
          <w:p>
            <w:pPr>
              <w:pStyle w:val="20"/>
              <w:rPr>
                <w:rFonts w:hint="eastAsia" w:ascii="仿宋_GB2312" w:hAnsi="仿宋_GB2312" w:eastAsia="仿宋_GB2312" w:cs="仿宋_GB2312"/>
                <w:sz w:val="21"/>
                <w:szCs w:val="21"/>
              </w:rPr>
            </w:pPr>
          </w:p>
        </w:tc>
      </w:tr>
    </w:tbl>
    <w:p>
      <w:pPr>
        <w:keepNext w:val="0"/>
        <w:keepLines w:val="0"/>
        <w:pageBreakBefore w:val="0"/>
        <w:widowControl/>
        <w:tabs>
          <w:tab w:val="left" w:pos="10794"/>
          <w:tab w:val="left" w:pos="12653"/>
          <w:tab w:val="left" w:pos="13253"/>
          <w:tab w:val="left" w:pos="13853"/>
        </w:tabs>
        <w:kinsoku/>
        <w:wordWrap/>
        <w:overflowPunct/>
        <w:topLinePunct w:val="0"/>
        <w:autoSpaceDE/>
        <w:autoSpaceDN/>
        <w:bidi w:val="0"/>
        <w:adjustRightInd w:val="0"/>
        <w:snapToGrid w:val="0"/>
        <w:spacing w:after="0"/>
        <w:ind w:left="351"/>
        <w:textAlignment w:val="auto"/>
        <w:outlineLvl w:val="9"/>
        <w:rPr>
          <w:sz w:val="24"/>
        </w:rPr>
      </w:pPr>
      <w:r>
        <w:rPr>
          <w:sz w:val="24"/>
        </w:rPr>
        <w:t>检查人：</w:t>
      </w:r>
      <w:r>
        <w:rPr>
          <w:rFonts w:hint="eastAsia"/>
          <w:sz w:val="24"/>
          <w:lang w:eastAsia="zh-CN"/>
        </w:rPr>
        <w:t>　　　　　　　　　　　　　　　　　　　　　　　　　　　　　　　　　</w:t>
      </w:r>
      <w:r>
        <w:rPr>
          <w:sz w:val="24"/>
        </w:rPr>
        <w:t>检查时间</w:t>
      </w:r>
      <w:r>
        <w:rPr>
          <w:w w:val="80"/>
          <w:sz w:val="24"/>
        </w:rPr>
        <w:t>:</w:t>
      </w:r>
      <w:r>
        <w:rPr>
          <w:rFonts w:hint="eastAsia"/>
          <w:w w:val="80"/>
          <w:sz w:val="24"/>
          <w:lang w:eastAsia="zh-CN"/>
        </w:rPr>
        <w:t>　　　　</w:t>
      </w:r>
      <w:r>
        <w:rPr>
          <w:sz w:val="24"/>
        </w:rPr>
        <w:t>年</w:t>
      </w:r>
      <w:r>
        <w:rPr>
          <w:rFonts w:hint="eastAsia"/>
          <w:sz w:val="24"/>
          <w:lang w:eastAsia="zh-CN"/>
        </w:rPr>
        <w:t>　　　</w:t>
      </w:r>
      <w:r>
        <w:rPr>
          <w:sz w:val="24"/>
        </w:rPr>
        <w:t>月</w:t>
      </w:r>
      <w:r>
        <w:rPr>
          <w:rFonts w:hint="eastAsia"/>
          <w:sz w:val="24"/>
          <w:lang w:eastAsia="zh-CN"/>
        </w:rPr>
        <w:t>　　　</w:t>
      </w:r>
      <w:r>
        <w:rPr>
          <w:sz w:val="24"/>
        </w:rPr>
        <w:t>日</w:t>
      </w:r>
    </w:p>
    <w:p>
      <w:pPr>
        <w:rPr>
          <w:sz w:val="24"/>
        </w:rPr>
        <w:sectPr>
          <w:type w:val="continuous"/>
          <w:pgSz w:w="16838" w:h="11911" w:orient="landscape"/>
          <w:pgMar w:top="1701" w:right="1417" w:bottom="1417" w:left="1417" w:header="850" w:footer="992" w:gutter="0"/>
          <w:pgNumType w:fmt="decimal"/>
          <w:cols w:space="0" w:num="1"/>
          <w:rtlGutter w:val="0"/>
          <w:docGrid w:linePitch="0" w:charSpace="0"/>
        </w:sectPr>
      </w:pPr>
    </w:p>
    <w:p>
      <w:pPr>
        <w:spacing w:before="68"/>
        <w:rPr>
          <w:rFonts w:hint="eastAsia" w:ascii="黑体" w:hAnsi="黑体" w:eastAsia="黑体" w:cs="黑体"/>
          <w:sz w:val="32"/>
        </w:rPr>
        <w:sectPr>
          <w:footerReference r:id="rId10" w:type="even"/>
          <w:pgSz w:w="16838" w:h="11911" w:orient="landscape"/>
          <w:pgMar w:top="1701" w:right="1417" w:bottom="1417" w:left="1417" w:header="850" w:footer="992" w:gutter="0"/>
          <w:pgNumType w:fmt="decimal"/>
          <w:cols w:space="0" w:num="1"/>
          <w:rtlGutter w:val="0"/>
          <w:docGrid w:linePitch="0" w:charSpace="0"/>
        </w:sectPr>
      </w:pPr>
      <w:r>
        <w:rPr>
          <w:rFonts w:hint="eastAsia" w:ascii="黑体" w:hAnsi="黑体" w:eastAsia="黑体" w:cs="黑体"/>
          <w:sz w:val="32"/>
        </w:rPr>
        <w:t>附件5</w:t>
      </w:r>
    </w:p>
    <w:p>
      <w:pPr>
        <w:pStyle w:val="19"/>
        <w:jc w:val="center"/>
        <w:rPr>
          <w:rFonts w:hint="eastAsia" w:ascii="方正小标宋简体" w:hAnsi="方正小标宋简体" w:eastAsia="方正小标宋简体" w:cs="方正小标宋简体"/>
          <w:sz w:val="44"/>
          <w:szCs w:val="44"/>
        </w:rPr>
        <w:sectPr>
          <w:type w:val="continuous"/>
          <w:pgSz w:w="16838" w:h="11911" w:orient="landscape"/>
          <w:pgMar w:top="1701" w:right="1417" w:bottom="1417" w:left="1417" w:header="850" w:footer="992" w:gutter="0"/>
          <w:pgNumType w:fmt="decimal"/>
          <w:cols w:space="0" w:num="1"/>
          <w:rtlGutter w:val="0"/>
          <w:docGrid w:linePitch="0" w:charSpace="0"/>
        </w:sectPr>
      </w:pPr>
      <w:r>
        <w:rPr>
          <w:rFonts w:hint="eastAsia" w:ascii="方正小标宋简体" w:hAnsi="方正小标宋简体" w:eastAsia="方正小标宋简体" w:cs="方正小标宋简体"/>
          <w:sz w:val="44"/>
          <w:szCs w:val="44"/>
        </w:rPr>
        <w:t>中药饮片质量检查表</w:t>
      </w:r>
    </w:p>
    <w:tbl>
      <w:tblPr>
        <w:tblStyle w:val="21"/>
        <w:tblpPr w:leftFromText="180" w:rightFromText="180" w:vertAnchor="page" w:horzAnchor="page" w:tblpXSpec="center" w:tblpY="3628"/>
        <w:tblOverlap w:val="never"/>
        <w:tblW w:w="1396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7"/>
        <w:gridCol w:w="1401"/>
        <w:gridCol w:w="757"/>
        <w:gridCol w:w="508"/>
        <w:gridCol w:w="634"/>
        <w:gridCol w:w="508"/>
        <w:gridCol w:w="508"/>
        <w:gridCol w:w="635"/>
        <w:gridCol w:w="1015"/>
        <w:gridCol w:w="1015"/>
        <w:gridCol w:w="1143"/>
        <w:gridCol w:w="1015"/>
        <w:gridCol w:w="1396"/>
        <w:gridCol w:w="1072"/>
        <w:gridCol w:w="178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577" w:type="dxa"/>
            <w:vAlign w:val="center"/>
          </w:tcPr>
          <w:p>
            <w:pPr>
              <w:pStyle w:val="20"/>
              <w:spacing w:before="110"/>
              <w:ind w:right="139"/>
              <w:jc w:val="center"/>
              <w:rPr>
                <w:rFonts w:hint="eastAsia" w:ascii="黑体" w:hAnsi="黑体" w:eastAsia="黑体" w:cs="黑体"/>
                <w:sz w:val="21"/>
                <w:szCs w:val="21"/>
              </w:rPr>
            </w:pPr>
            <w:r>
              <w:rPr>
                <w:rFonts w:hint="eastAsia" w:ascii="黑体" w:hAnsi="黑体" w:eastAsia="黑体" w:cs="黑体"/>
                <w:sz w:val="21"/>
                <w:szCs w:val="21"/>
              </w:rPr>
              <w:t>序号</w:t>
            </w:r>
          </w:p>
        </w:tc>
        <w:tc>
          <w:tcPr>
            <w:tcW w:w="1401"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饮片名称</w:t>
            </w:r>
          </w:p>
        </w:tc>
        <w:tc>
          <w:tcPr>
            <w:tcW w:w="757"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虫蛀</w:t>
            </w:r>
          </w:p>
        </w:tc>
        <w:tc>
          <w:tcPr>
            <w:tcW w:w="508"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霉变</w:t>
            </w:r>
          </w:p>
        </w:tc>
        <w:tc>
          <w:tcPr>
            <w:tcW w:w="634"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走油</w:t>
            </w:r>
          </w:p>
        </w:tc>
        <w:tc>
          <w:tcPr>
            <w:tcW w:w="508"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变色</w:t>
            </w:r>
          </w:p>
        </w:tc>
        <w:tc>
          <w:tcPr>
            <w:tcW w:w="508"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腐烂</w:t>
            </w:r>
          </w:p>
        </w:tc>
        <w:tc>
          <w:tcPr>
            <w:tcW w:w="635"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黏连</w:t>
            </w:r>
          </w:p>
        </w:tc>
        <w:tc>
          <w:tcPr>
            <w:tcW w:w="1015"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风化潮解</w:t>
            </w:r>
          </w:p>
        </w:tc>
        <w:tc>
          <w:tcPr>
            <w:tcW w:w="1015"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气味散失</w:t>
            </w:r>
          </w:p>
        </w:tc>
        <w:tc>
          <w:tcPr>
            <w:tcW w:w="1143"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大小不符</w:t>
            </w:r>
          </w:p>
        </w:tc>
        <w:tc>
          <w:tcPr>
            <w:tcW w:w="1015"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片型不符</w:t>
            </w:r>
          </w:p>
        </w:tc>
        <w:tc>
          <w:tcPr>
            <w:tcW w:w="1396" w:type="dxa"/>
            <w:vAlign w:val="center"/>
          </w:tcPr>
          <w:p>
            <w:pPr>
              <w:pStyle w:val="20"/>
              <w:spacing w:before="110"/>
              <w:jc w:val="center"/>
              <w:rPr>
                <w:rFonts w:hint="eastAsia" w:ascii="黑体" w:hAnsi="黑体" w:eastAsia="黑体" w:cs="黑体"/>
                <w:sz w:val="21"/>
                <w:szCs w:val="21"/>
              </w:rPr>
            </w:pPr>
            <w:r>
              <w:rPr>
                <w:rFonts w:hint="eastAsia" w:ascii="黑体" w:hAnsi="黑体" w:eastAsia="黑体" w:cs="黑体"/>
                <w:sz w:val="21"/>
                <w:szCs w:val="21"/>
              </w:rPr>
              <w:t>含水量不符</w:t>
            </w:r>
          </w:p>
        </w:tc>
        <w:tc>
          <w:tcPr>
            <w:tcW w:w="1072" w:type="dxa"/>
            <w:vAlign w:val="center"/>
          </w:tcPr>
          <w:p>
            <w:pPr>
              <w:pStyle w:val="20"/>
              <w:tabs>
                <w:tab w:val="left" w:pos="705"/>
              </w:tabs>
              <w:spacing w:before="110"/>
              <w:jc w:val="center"/>
              <w:rPr>
                <w:rFonts w:hint="eastAsia" w:ascii="黑体" w:hAnsi="黑体" w:eastAsia="黑体" w:cs="黑体"/>
                <w:sz w:val="21"/>
                <w:szCs w:val="21"/>
              </w:rPr>
            </w:pPr>
            <w:r>
              <w:rPr>
                <w:rFonts w:hint="eastAsia" w:ascii="黑体" w:hAnsi="黑体" w:eastAsia="黑体" w:cs="黑体"/>
                <w:sz w:val="21"/>
                <w:szCs w:val="21"/>
              </w:rPr>
              <w:t>合格</w:t>
            </w:r>
          </w:p>
        </w:tc>
        <w:tc>
          <w:tcPr>
            <w:tcW w:w="1784" w:type="dxa"/>
            <w:vAlign w:val="center"/>
          </w:tcPr>
          <w:p>
            <w:pPr>
              <w:pStyle w:val="20"/>
              <w:tabs>
                <w:tab w:val="left" w:pos="705"/>
              </w:tabs>
              <w:spacing w:before="110"/>
              <w:jc w:val="center"/>
              <w:rPr>
                <w:rFonts w:hint="eastAsia" w:ascii="黑体" w:hAnsi="黑体" w:eastAsia="黑体" w:cs="黑体"/>
                <w:sz w:val="21"/>
                <w:szCs w:val="21"/>
              </w:rPr>
            </w:pPr>
            <w:r>
              <w:rPr>
                <w:rFonts w:hint="eastAsia" w:ascii="黑体" w:hAnsi="黑体" w:eastAsia="黑体" w:cs="黑体"/>
                <w:sz w:val="21"/>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jc w:val="center"/>
        </w:trPr>
        <w:tc>
          <w:tcPr>
            <w:tcW w:w="577" w:type="dxa"/>
          </w:tcPr>
          <w:p>
            <w:pPr>
              <w:pStyle w:val="20"/>
              <w:spacing w:before="116"/>
              <w:ind w:left="8"/>
              <w:jc w:val="center"/>
              <w:rPr>
                <w:sz w:val="21"/>
                <w:szCs w:val="21"/>
              </w:rPr>
            </w:pPr>
            <w:r>
              <w:rPr>
                <w:sz w:val="21"/>
                <w:szCs w:val="21"/>
              </w:rPr>
              <w:t>1</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577" w:type="dxa"/>
          </w:tcPr>
          <w:p>
            <w:pPr>
              <w:pStyle w:val="20"/>
              <w:spacing w:before="116"/>
              <w:ind w:left="8"/>
              <w:jc w:val="center"/>
              <w:rPr>
                <w:sz w:val="21"/>
                <w:szCs w:val="21"/>
              </w:rPr>
            </w:pPr>
            <w:r>
              <w:rPr>
                <w:sz w:val="21"/>
                <w:szCs w:val="21"/>
              </w:rPr>
              <w:t>2</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577" w:type="dxa"/>
          </w:tcPr>
          <w:p>
            <w:pPr>
              <w:pStyle w:val="20"/>
              <w:spacing w:before="116"/>
              <w:ind w:left="8"/>
              <w:jc w:val="center"/>
              <w:rPr>
                <w:sz w:val="21"/>
                <w:szCs w:val="21"/>
              </w:rPr>
            </w:pPr>
            <w:r>
              <w:rPr>
                <w:sz w:val="21"/>
                <w:szCs w:val="21"/>
              </w:rPr>
              <w:t>3</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577" w:type="dxa"/>
          </w:tcPr>
          <w:p>
            <w:pPr>
              <w:pStyle w:val="20"/>
              <w:spacing w:before="116"/>
              <w:ind w:left="8"/>
              <w:jc w:val="center"/>
              <w:rPr>
                <w:sz w:val="21"/>
                <w:szCs w:val="21"/>
              </w:rPr>
            </w:pPr>
            <w:r>
              <w:rPr>
                <w:sz w:val="21"/>
                <w:szCs w:val="21"/>
              </w:rPr>
              <w:t>4</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577" w:type="dxa"/>
          </w:tcPr>
          <w:p>
            <w:pPr>
              <w:pStyle w:val="20"/>
              <w:spacing w:before="116"/>
              <w:ind w:left="8"/>
              <w:jc w:val="center"/>
              <w:rPr>
                <w:sz w:val="21"/>
                <w:szCs w:val="21"/>
              </w:rPr>
            </w:pPr>
            <w:r>
              <w:rPr>
                <w:sz w:val="21"/>
                <w:szCs w:val="21"/>
              </w:rPr>
              <w:t>5</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577" w:type="dxa"/>
          </w:tcPr>
          <w:p>
            <w:pPr>
              <w:pStyle w:val="20"/>
              <w:spacing w:before="116"/>
              <w:ind w:left="8"/>
              <w:jc w:val="center"/>
              <w:rPr>
                <w:sz w:val="21"/>
                <w:szCs w:val="21"/>
              </w:rPr>
            </w:pPr>
            <w:r>
              <w:rPr>
                <w:sz w:val="21"/>
                <w:szCs w:val="21"/>
              </w:rPr>
              <w:t>6</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jc w:val="center"/>
        </w:trPr>
        <w:tc>
          <w:tcPr>
            <w:tcW w:w="577" w:type="dxa"/>
          </w:tcPr>
          <w:p>
            <w:pPr>
              <w:pStyle w:val="20"/>
              <w:spacing w:before="116"/>
              <w:ind w:left="8"/>
              <w:jc w:val="center"/>
              <w:rPr>
                <w:sz w:val="21"/>
                <w:szCs w:val="21"/>
              </w:rPr>
            </w:pPr>
            <w:r>
              <w:rPr>
                <w:sz w:val="21"/>
                <w:szCs w:val="21"/>
              </w:rPr>
              <w:t>7</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577" w:type="dxa"/>
          </w:tcPr>
          <w:p>
            <w:pPr>
              <w:pStyle w:val="20"/>
              <w:spacing w:before="116"/>
              <w:ind w:left="8"/>
              <w:jc w:val="center"/>
              <w:rPr>
                <w:sz w:val="21"/>
                <w:szCs w:val="21"/>
              </w:rPr>
            </w:pPr>
            <w:r>
              <w:rPr>
                <w:sz w:val="21"/>
                <w:szCs w:val="21"/>
              </w:rPr>
              <w:t>8</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577" w:type="dxa"/>
          </w:tcPr>
          <w:p>
            <w:pPr>
              <w:pStyle w:val="20"/>
              <w:spacing w:before="116"/>
              <w:ind w:left="8"/>
              <w:jc w:val="center"/>
              <w:rPr>
                <w:sz w:val="21"/>
                <w:szCs w:val="21"/>
              </w:rPr>
            </w:pPr>
            <w:r>
              <w:rPr>
                <w:sz w:val="21"/>
                <w:szCs w:val="21"/>
              </w:rPr>
              <w:t>9</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577" w:type="dxa"/>
          </w:tcPr>
          <w:p>
            <w:pPr>
              <w:pStyle w:val="20"/>
              <w:spacing w:before="116"/>
              <w:ind w:right="139"/>
              <w:jc w:val="center"/>
              <w:rPr>
                <w:sz w:val="21"/>
                <w:szCs w:val="21"/>
              </w:rPr>
            </w:pPr>
            <w:r>
              <w:rPr>
                <w:sz w:val="21"/>
                <w:szCs w:val="21"/>
              </w:rPr>
              <w:t>10</w:t>
            </w:r>
            <w:r>
              <w:rPr>
                <w:rFonts w:hint="eastAsia"/>
                <w:sz w:val="21"/>
                <w:szCs w:val="21"/>
              </w:rPr>
              <w:t>.</w:t>
            </w:r>
          </w:p>
        </w:tc>
        <w:tc>
          <w:tcPr>
            <w:tcW w:w="1401" w:type="dxa"/>
          </w:tcPr>
          <w:p>
            <w:pPr>
              <w:pStyle w:val="20"/>
              <w:rPr>
                <w:rFonts w:ascii="Times New Roman"/>
                <w:sz w:val="21"/>
                <w:szCs w:val="21"/>
              </w:rPr>
            </w:pPr>
          </w:p>
        </w:tc>
        <w:tc>
          <w:tcPr>
            <w:tcW w:w="757" w:type="dxa"/>
          </w:tcPr>
          <w:p>
            <w:pPr>
              <w:pStyle w:val="20"/>
              <w:rPr>
                <w:rFonts w:ascii="Times New Roman"/>
                <w:sz w:val="21"/>
                <w:szCs w:val="21"/>
              </w:rPr>
            </w:pPr>
          </w:p>
        </w:tc>
        <w:tc>
          <w:tcPr>
            <w:tcW w:w="508" w:type="dxa"/>
          </w:tcPr>
          <w:p>
            <w:pPr>
              <w:pStyle w:val="20"/>
              <w:rPr>
                <w:rFonts w:ascii="Times New Roman"/>
                <w:sz w:val="21"/>
                <w:szCs w:val="21"/>
              </w:rPr>
            </w:pPr>
          </w:p>
        </w:tc>
        <w:tc>
          <w:tcPr>
            <w:tcW w:w="634" w:type="dxa"/>
          </w:tcPr>
          <w:p>
            <w:pPr>
              <w:pStyle w:val="20"/>
              <w:rPr>
                <w:rFonts w:ascii="Times New Roman"/>
                <w:sz w:val="21"/>
                <w:szCs w:val="21"/>
              </w:rPr>
            </w:pPr>
          </w:p>
        </w:tc>
        <w:tc>
          <w:tcPr>
            <w:tcW w:w="508" w:type="dxa"/>
          </w:tcPr>
          <w:p>
            <w:pPr>
              <w:pStyle w:val="20"/>
              <w:rPr>
                <w:rFonts w:ascii="Times New Roman"/>
                <w:sz w:val="21"/>
                <w:szCs w:val="21"/>
              </w:rPr>
            </w:pPr>
          </w:p>
        </w:tc>
        <w:tc>
          <w:tcPr>
            <w:tcW w:w="508" w:type="dxa"/>
          </w:tcPr>
          <w:p>
            <w:pPr>
              <w:pStyle w:val="20"/>
              <w:rPr>
                <w:rFonts w:ascii="Times New Roman"/>
                <w:sz w:val="21"/>
                <w:szCs w:val="21"/>
              </w:rPr>
            </w:pPr>
          </w:p>
        </w:tc>
        <w:tc>
          <w:tcPr>
            <w:tcW w:w="635" w:type="dxa"/>
          </w:tcPr>
          <w:p>
            <w:pPr>
              <w:pStyle w:val="20"/>
              <w:rPr>
                <w:rFonts w:ascii="Times New Roman"/>
                <w:sz w:val="21"/>
                <w:szCs w:val="21"/>
              </w:rPr>
            </w:pPr>
          </w:p>
        </w:tc>
        <w:tc>
          <w:tcPr>
            <w:tcW w:w="1015" w:type="dxa"/>
          </w:tcPr>
          <w:p>
            <w:pPr>
              <w:pStyle w:val="20"/>
              <w:rPr>
                <w:rFonts w:ascii="Times New Roman"/>
                <w:sz w:val="21"/>
                <w:szCs w:val="21"/>
              </w:rPr>
            </w:pPr>
          </w:p>
        </w:tc>
        <w:tc>
          <w:tcPr>
            <w:tcW w:w="1015" w:type="dxa"/>
          </w:tcPr>
          <w:p>
            <w:pPr>
              <w:pStyle w:val="20"/>
              <w:rPr>
                <w:rFonts w:ascii="Times New Roman"/>
                <w:sz w:val="21"/>
                <w:szCs w:val="21"/>
              </w:rPr>
            </w:pPr>
          </w:p>
        </w:tc>
        <w:tc>
          <w:tcPr>
            <w:tcW w:w="1143" w:type="dxa"/>
          </w:tcPr>
          <w:p>
            <w:pPr>
              <w:pStyle w:val="20"/>
              <w:rPr>
                <w:rFonts w:ascii="Times New Roman"/>
                <w:sz w:val="21"/>
                <w:szCs w:val="21"/>
              </w:rPr>
            </w:pPr>
          </w:p>
        </w:tc>
        <w:tc>
          <w:tcPr>
            <w:tcW w:w="1015" w:type="dxa"/>
          </w:tcPr>
          <w:p>
            <w:pPr>
              <w:pStyle w:val="20"/>
              <w:rPr>
                <w:rFonts w:ascii="Times New Roman"/>
                <w:sz w:val="21"/>
                <w:szCs w:val="21"/>
              </w:rPr>
            </w:pPr>
          </w:p>
        </w:tc>
        <w:tc>
          <w:tcPr>
            <w:tcW w:w="1396" w:type="dxa"/>
          </w:tcPr>
          <w:p>
            <w:pPr>
              <w:pStyle w:val="20"/>
              <w:rPr>
                <w:rFonts w:ascii="Times New Roman"/>
                <w:sz w:val="21"/>
                <w:szCs w:val="21"/>
              </w:rPr>
            </w:pPr>
          </w:p>
        </w:tc>
        <w:tc>
          <w:tcPr>
            <w:tcW w:w="1072" w:type="dxa"/>
          </w:tcPr>
          <w:p>
            <w:pPr>
              <w:pStyle w:val="20"/>
              <w:rPr>
                <w:rFonts w:ascii="Times New Roman"/>
                <w:sz w:val="21"/>
                <w:szCs w:val="21"/>
              </w:rPr>
            </w:pPr>
          </w:p>
        </w:tc>
        <w:tc>
          <w:tcPr>
            <w:tcW w:w="1784" w:type="dxa"/>
          </w:tcPr>
          <w:p>
            <w:pPr>
              <w:pStyle w:val="20"/>
              <w:rPr>
                <w:rFonts w:ascii="Times New Roman"/>
                <w:sz w:val="21"/>
                <w:szCs w:val="21"/>
              </w:rPr>
            </w:pPr>
          </w:p>
        </w:tc>
      </w:tr>
    </w:tbl>
    <w:p>
      <w:pPr>
        <w:spacing w:before="68"/>
        <w:rPr>
          <w:sz w:val="24"/>
        </w:rPr>
      </w:pPr>
      <w:r>
        <w:rPr>
          <w:sz w:val="24"/>
        </w:rPr>
        <w:t>单位：</w:t>
      </w:r>
    </w:p>
    <w:p>
      <w:pPr>
        <w:tabs>
          <w:tab w:val="left" w:pos="11034"/>
          <w:tab w:val="left" w:pos="12653"/>
          <w:tab w:val="left" w:pos="13253"/>
          <w:tab w:val="left" w:pos="13853"/>
        </w:tabs>
        <w:ind w:left="354"/>
        <w:rPr>
          <w:sz w:val="24"/>
        </w:rPr>
      </w:pPr>
      <w:r>
        <w:rPr>
          <w:sz w:val="24"/>
        </w:rPr>
        <w:t>检查人：</w:t>
      </w:r>
      <w:r>
        <w:rPr>
          <w:rFonts w:hint="eastAsia"/>
          <w:sz w:val="24"/>
        </w:rPr>
        <w:t xml:space="preserve">                                                                                               </w:t>
      </w:r>
      <w:r>
        <w:rPr>
          <w:sz w:val="24"/>
        </w:rPr>
        <w:t>检查时间</w:t>
      </w:r>
      <w:r>
        <w:rPr>
          <w:w w:val="80"/>
          <w:sz w:val="24"/>
        </w:rPr>
        <w:t>:</w:t>
      </w:r>
      <w:r>
        <w:rPr>
          <w:rFonts w:hint="eastAsia"/>
          <w:w w:val="80"/>
          <w:sz w:val="24"/>
        </w:rPr>
        <w:t xml:space="preserve">        </w:t>
      </w:r>
      <w:r>
        <w:rPr>
          <w:sz w:val="24"/>
        </w:rPr>
        <w:t>年</w:t>
      </w:r>
      <w:r>
        <w:rPr>
          <w:rFonts w:hint="eastAsia"/>
          <w:sz w:val="24"/>
        </w:rPr>
        <w:t xml:space="preserve">      </w:t>
      </w:r>
      <w:r>
        <w:rPr>
          <w:sz w:val="24"/>
        </w:rPr>
        <w:t>月</w:t>
      </w:r>
      <w:r>
        <w:rPr>
          <w:rFonts w:hint="eastAsia"/>
          <w:sz w:val="24"/>
        </w:rPr>
        <w:t xml:space="preserve">     日</w:t>
      </w:r>
    </w:p>
    <w:p>
      <w:pPr>
        <w:tabs>
          <w:tab w:val="left" w:pos="11034"/>
          <w:tab w:val="left" w:pos="12653"/>
          <w:tab w:val="left" w:pos="13253"/>
          <w:tab w:val="left" w:pos="13853"/>
        </w:tabs>
        <w:rPr>
          <w:rFonts w:hint="eastAsia" w:ascii="黑体" w:hAnsi="黑体" w:eastAsia="黑体" w:cs="黑体"/>
          <w:sz w:val="32"/>
          <w:szCs w:val="32"/>
        </w:rPr>
      </w:pPr>
      <w:r>
        <w:rPr>
          <w:rFonts w:hint="eastAsia" w:ascii="黑体" w:hAnsi="黑体" w:eastAsia="黑体" w:cs="黑体"/>
          <w:sz w:val="32"/>
          <w:szCs w:val="32"/>
        </w:rPr>
        <w:t>附件6</w:t>
      </w:r>
    </w:p>
    <w:p>
      <w:pPr>
        <w:tabs>
          <w:tab w:val="left" w:pos="11034"/>
          <w:tab w:val="left" w:pos="12653"/>
          <w:tab w:val="left" w:pos="13253"/>
          <w:tab w:val="left" w:pos="13853"/>
        </w:tabs>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中药饮片调剂质量检查表</w:t>
      </w:r>
    </w:p>
    <w:tbl>
      <w:tblPr>
        <w:tblStyle w:val="21"/>
        <w:tblpPr w:leftFromText="180" w:rightFromText="180" w:vertAnchor="text" w:horzAnchor="margin" w:tblpY="717"/>
        <w:tblOverlap w:val="never"/>
        <w:tblW w:w="145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9"/>
        <w:gridCol w:w="1229"/>
        <w:gridCol w:w="1230"/>
        <w:gridCol w:w="1232"/>
        <w:gridCol w:w="567"/>
        <w:gridCol w:w="708"/>
        <w:gridCol w:w="1747"/>
        <w:gridCol w:w="1228"/>
        <w:gridCol w:w="1230"/>
        <w:gridCol w:w="1228"/>
        <w:gridCol w:w="1228"/>
        <w:gridCol w:w="1229"/>
        <w:gridCol w:w="97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09" w:type="dxa"/>
            <w:vAlign w:val="center"/>
          </w:tcPr>
          <w:p>
            <w:pPr>
              <w:pStyle w:val="20"/>
              <w:spacing w:before="98"/>
              <w:ind w:left="99" w:right="89"/>
              <w:jc w:val="center"/>
              <w:rPr>
                <w:rFonts w:hint="eastAsia" w:ascii="黑体" w:hAnsi="黑体" w:eastAsia="黑体" w:cs="黑体"/>
                <w:sz w:val="24"/>
                <w:szCs w:val="20"/>
              </w:rPr>
            </w:pPr>
            <w:r>
              <w:rPr>
                <w:rFonts w:hint="eastAsia" w:ascii="黑体" w:hAnsi="黑体" w:eastAsia="黑体" w:cs="黑体"/>
                <w:sz w:val="24"/>
                <w:szCs w:val="20"/>
              </w:rPr>
              <w:t>序号</w:t>
            </w:r>
          </w:p>
        </w:tc>
        <w:tc>
          <w:tcPr>
            <w:tcW w:w="1229" w:type="dxa"/>
            <w:vAlign w:val="center"/>
          </w:tcPr>
          <w:p>
            <w:pPr>
              <w:pStyle w:val="20"/>
              <w:spacing w:before="98"/>
              <w:ind w:left="143"/>
              <w:jc w:val="center"/>
              <w:rPr>
                <w:rFonts w:hint="eastAsia" w:ascii="黑体" w:hAnsi="黑体" w:eastAsia="黑体" w:cs="黑体"/>
                <w:sz w:val="24"/>
                <w:szCs w:val="20"/>
              </w:rPr>
            </w:pPr>
            <w:r>
              <w:rPr>
                <w:rFonts w:hint="eastAsia" w:ascii="黑体" w:hAnsi="黑体" w:eastAsia="黑体" w:cs="黑体"/>
                <w:sz w:val="24"/>
                <w:szCs w:val="20"/>
              </w:rPr>
              <w:t>处方日期</w:t>
            </w:r>
          </w:p>
        </w:tc>
        <w:tc>
          <w:tcPr>
            <w:tcW w:w="1230" w:type="dxa"/>
            <w:vAlign w:val="center"/>
          </w:tcPr>
          <w:p>
            <w:pPr>
              <w:pStyle w:val="20"/>
              <w:spacing w:before="98"/>
              <w:ind w:left="115"/>
              <w:jc w:val="center"/>
              <w:rPr>
                <w:rFonts w:hint="eastAsia" w:ascii="黑体" w:hAnsi="黑体" w:eastAsia="黑体" w:cs="黑体"/>
                <w:sz w:val="24"/>
                <w:szCs w:val="20"/>
              </w:rPr>
            </w:pPr>
            <w:r>
              <w:rPr>
                <w:rFonts w:hint="eastAsia" w:ascii="黑体" w:hAnsi="黑体" w:eastAsia="黑体" w:cs="黑体"/>
                <w:w w:val="105"/>
                <w:sz w:val="24"/>
                <w:szCs w:val="20"/>
              </w:rPr>
              <w:t>病人姓名</w:t>
            </w:r>
          </w:p>
        </w:tc>
        <w:tc>
          <w:tcPr>
            <w:tcW w:w="1232" w:type="dxa"/>
            <w:vAlign w:val="center"/>
          </w:tcPr>
          <w:p>
            <w:pPr>
              <w:pStyle w:val="20"/>
              <w:tabs>
                <w:tab w:val="left" w:pos="742"/>
              </w:tabs>
              <w:spacing w:before="98"/>
              <w:jc w:val="center"/>
              <w:rPr>
                <w:rFonts w:hint="eastAsia" w:ascii="黑体" w:hAnsi="黑体" w:eastAsia="黑体" w:cs="黑体"/>
                <w:sz w:val="24"/>
                <w:szCs w:val="20"/>
              </w:rPr>
            </w:pPr>
            <w:r>
              <w:rPr>
                <w:rFonts w:hint="eastAsia" w:ascii="黑体" w:hAnsi="黑体" w:eastAsia="黑体" w:cs="黑体"/>
                <w:sz w:val="24"/>
                <w:szCs w:val="20"/>
              </w:rPr>
              <w:t>处方号</w:t>
            </w:r>
          </w:p>
        </w:tc>
        <w:tc>
          <w:tcPr>
            <w:tcW w:w="567" w:type="dxa"/>
            <w:vAlign w:val="center"/>
          </w:tcPr>
          <w:p>
            <w:pPr>
              <w:pStyle w:val="20"/>
              <w:tabs>
                <w:tab w:val="left" w:pos="741"/>
              </w:tabs>
              <w:spacing w:before="98"/>
              <w:jc w:val="center"/>
              <w:rPr>
                <w:rFonts w:hint="eastAsia" w:ascii="黑体" w:hAnsi="黑体" w:eastAsia="黑体" w:cs="黑体"/>
                <w:sz w:val="24"/>
                <w:szCs w:val="20"/>
              </w:rPr>
            </w:pPr>
            <w:r>
              <w:rPr>
                <w:rFonts w:hint="eastAsia" w:ascii="黑体" w:hAnsi="黑体" w:eastAsia="黑体" w:cs="黑体"/>
                <w:sz w:val="24"/>
                <w:szCs w:val="20"/>
              </w:rPr>
              <w:t>剂数</w:t>
            </w:r>
          </w:p>
        </w:tc>
        <w:tc>
          <w:tcPr>
            <w:tcW w:w="708" w:type="dxa"/>
            <w:vAlign w:val="center"/>
          </w:tcPr>
          <w:p>
            <w:pPr>
              <w:pStyle w:val="20"/>
              <w:tabs>
                <w:tab w:val="left" w:pos="741"/>
              </w:tabs>
              <w:spacing w:before="98"/>
              <w:jc w:val="center"/>
              <w:rPr>
                <w:rFonts w:hint="eastAsia" w:ascii="黑体" w:hAnsi="黑体" w:eastAsia="黑体" w:cs="黑体"/>
                <w:sz w:val="24"/>
                <w:szCs w:val="20"/>
              </w:rPr>
            </w:pPr>
            <w:r>
              <w:rPr>
                <w:rFonts w:hint="eastAsia" w:ascii="黑体" w:hAnsi="黑体" w:eastAsia="黑体" w:cs="黑体"/>
                <w:sz w:val="24"/>
                <w:szCs w:val="20"/>
              </w:rPr>
              <w:t>味数</w:t>
            </w:r>
          </w:p>
        </w:tc>
        <w:tc>
          <w:tcPr>
            <w:tcW w:w="1747" w:type="dxa"/>
            <w:vAlign w:val="center"/>
          </w:tcPr>
          <w:p>
            <w:pPr>
              <w:pStyle w:val="20"/>
              <w:spacing w:before="98"/>
              <w:ind w:left="141"/>
              <w:jc w:val="center"/>
              <w:rPr>
                <w:rFonts w:hint="eastAsia" w:ascii="黑体" w:hAnsi="黑体" w:eastAsia="黑体" w:cs="黑体"/>
                <w:sz w:val="24"/>
                <w:szCs w:val="20"/>
              </w:rPr>
            </w:pPr>
            <w:r>
              <w:rPr>
                <w:rFonts w:hint="eastAsia" w:ascii="黑体" w:hAnsi="黑体" w:eastAsia="黑体" w:cs="黑体"/>
                <w:sz w:val="24"/>
                <w:szCs w:val="20"/>
              </w:rPr>
              <w:t>不合格剂数</w:t>
            </w:r>
          </w:p>
        </w:tc>
        <w:tc>
          <w:tcPr>
            <w:tcW w:w="1228" w:type="dxa"/>
            <w:vAlign w:val="center"/>
          </w:tcPr>
          <w:p>
            <w:pPr>
              <w:pStyle w:val="20"/>
              <w:spacing w:before="98"/>
              <w:ind w:left="141"/>
              <w:jc w:val="center"/>
              <w:rPr>
                <w:rFonts w:hint="eastAsia" w:ascii="黑体" w:hAnsi="黑体" w:eastAsia="黑体" w:cs="黑体"/>
                <w:sz w:val="24"/>
                <w:szCs w:val="20"/>
              </w:rPr>
            </w:pPr>
            <w:r>
              <w:rPr>
                <w:rFonts w:hint="eastAsia" w:ascii="黑体" w:hAnsi="黑体" w:eastAsia="黑体" w:cs="黑体"/>
                <w:sz w:val="24"/>
                <w:szCs w:val="20"/>
              </w:rPr>
              <w:t>合格剂数</w:t>
            </w:r>
          </w:p>
        </w:tc>
        <w:tc>
          <w:tcPr>
            <w:tcW w:w="1230" w:type="dxa"/>
            <w:vAlign w:val="center"/>
          </w:tcPr>
          <w:p>
            <w:pPr>
              <w:pStyle w:val="20"/>
              <w:tabs>
                <w:tab w:val="left" w:pos="741"/>
              </w:tabs>
              <w:spacing w:before="98"/>
              <w:ind w:left="261"/>
              <w:jc w:val="center"/>
              <w:rPr>
                <w:rFonts w:hint="eastAsia" w:ascii="黑体" w:hAnsi="黑体" w:eastAsia="黑体" w:cs="黑体"/>
                <w:sz w:val="24"/>
                <w:szCs w:val="20"/>
              </w:rPr>
            </w:pPr>
            <w:r>
              <w:rPr>
                <w:rFonts w:hint="eastAsia" w:ascii="黑体" w:hAnsi="黑体" w:eastAsia="黑体" w:cs="黑体"/>
                <w:sz w:val="24"/>
                <w:szCs w:val="20"/>
              </w:rPr>
              <w:t>总量</w:t>
            </w:r>
          </w:p>
        </w:tc>
        <w:tc>
          <w:tcPr>
            <w:tcW w:w="1228" w:type="dxa"/>
            <w:vAlign w:val="center"/>
          </w:tcPr>
          <w:p>
            <w:pPr>
              <w:pStyle w:val="20"/>
              <w:spacing w:before="98"/>
              <w:ind w:left="141"/>
              <w:jc w:val="center"/>
              <w:rPr>
                <w:rFonts w:hint="eastAsia" w:ascii="黑体" w:hAnsi="黑体" w:eastAsia="黑体" w:cs="黑体"/>
                <w:sz w:val="24"/>
                <w:szCs w:val="20"/>
              </w:rPr>
            </w:pPr>
            <w:r>
              <w:rPr>
                <w:rFonts w:hint="eastAsia" w:ascii="黑体" w:hAnsi="黑体" w:eastAsia="黑体" w:cs="黑体"/>
                <w:sz w:val="24"/>
                <w:szCs w:val="20"/>
              </w:rPr>
              <w:t>实际总量</w:t>
            </w:r>
          </w:p>
        </w:tc>
        <w:tc>
          <w:tcPr>
            <w:tcW w:w="1228" w:type="dxa"/>
            <w:vAlign w:val="center"/>
          </w:tcPr>
          <w:p>
            <w:pPr>
              <w:pStyle w:val="20"/>
              <w:spacing w:before="98"/>
              <w:ind w:left="140"/>
              <w:jc w:val="center"/>
              <w:rPr>
                <w:rFonts w:hint="eastAsia" w:ascii="黑体" w:hAnsi="黑体" w:eastAsia="黑体" w:cs="黑体"/>
                <w:sz w:val="24"/>
                <w:szCs w:val="20"/>
              </w:rPr>
            </w:pPr>
            <w:r>
              <w:rPr>
                <w:rFonts w:hint="eastAsia" w:ascii="黑体" w:hAnsi="黑体" w:eastAsia="黑体" w:cs="黑体"/>
                <w:sz w:val="24"/>
                <w:szCs w:val="20"/>
              </w:rPr>
              <w:t>总量误差</w:t>
            </w:r>
          </w:p>
        </w:tc>
        <w:tc>
          <w:tcPr>
            <w:tcW w:w="1229" w:type="dxa"/>
            <w:vAlign w:val="center"/>
          </w:tcPr>
          <w:p>
            <w:pPr>
              <w:pStyle w:val="20"/>
              <w:spacing w:before="98"/>
              <w:ind w:left="260"/>
              <w:jc w:val="center"/>
              <w:rPr>
                <w:rFonts w:hint="eastAsia" w:ascii="黑体" w:hAnsi="黑体" w:eastAsia="黑体" w:cs="黑体"/>
                <w:sz w:val="24"/>
                <w:szCs w:val="20"/>
              </w:rPr>
            </w:pPr>
            <w:r>
              <w:rPr>
                <w:rFonts w:hint="eastAsia" w:ascii="黑体" w:hAnsi="黑体" w:eastAsia="黑体" w:cs="黑体"/>
                <w:sz w:val="24"/>
                <w:szCs w:val="20"/>
              </w:rPr>
              <w:t>配方者</w:t>
            </w:r>
          </w:p>
        </w:tc>
        <w:tc>
          <w:tcPr>
            <w:tcW w:w="976" w:type="dxa"/>
            <w:vAlign w:val="center"/>
          </w:tcPr>
          <w:p>
            <w:pPr>
              <w:pStyle w:val="20"/>
              <w:tabs>
                <w:tab w:val="left" w:pos="611"/>
              </w:tabs>
              <w:spacing w:before="98"/>
              <w:ind w:left="131"/>
              <w:jc w:val="center"/>
              <w:rPr>
                <w:rFonts w:hint="eastAsia" w:ascii="黑体" w:hAnsi="黑体" w:eastAsia="黑体" w:cs="黑体"/>
                <w:sz w:val="24"/>
                <w:szCs w:val="20"/>
              </w:rPr>
            </w:pPr>
            <w:r>
              <w:rPr>
                <w:rFonts w:hint="eastAsia" w:ascii="黑体" w:hAnsi="黑体" w:eastAsia="黑体" w:cs="黑体"/>
                <w:sz w:val="24"/>
                <w:szCs w:val="20"/>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709" w:type="dxa"/>
          </w:tcPr>
          <w:p>
            <w:pPr>
              <w:pStyle w:val="20"/>
              <w:spacing w:before="98"/>
              <w:ind w:left="9"/>
              <w:jc w:val="center"/>
              <w:rPr>
                <w:rFonts w:hint="eastAsia" w:ascii="仿宋_GB2312" w:hAnsi="仿宋_GB2312" w:eastAsia="仿宋_GB2312" w:cs="仿宋_GB2312"/>
                <w:sz w:val="24"/>
                <w:szCs w:val="20"/>
              </w:rPr>
            </w:pPr>
            <w:r>
              <w:rPr>
                <w:rFonts w:hint="eastAsia" w:ascii="仿宋_GB2312" w:hAnsi="仿宋_GB2312" w:eastAsia="仿宋_GB2312" w:cs="仿宋_GB2312"/>
                <w:w w:val="99"/>
                <w:sz w:val="24"/>
                <w:szCs w:val="20"/>
              </w:rPr>
              <w:t>1</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09" w:type="dxa"/>
          </w:tcPr>
          <w:p>
            <w:pPr>
              <w:pStyle w:val="20"/>
              <w:spacing w:before="98"/>
              <w:ind w:left="9"/>
              <w:jc w:val="center"/>
              <w:rPr>
                <w:rFonts w:hint="eastAsia" w:ascii="仿宋_GB2312" w:hAnsi="仿宋_GB2312" w:eastAsia="仿宋_GB2312" w:cs="仿宋_GB2312"/>
                <w:sz w:val="24"/>
                <w:szCs w:val="20"/>
              </w:rPr>
            </w:pPr>
            <w:r>
              <w:rPr>
                <w:rFonts w:hint="eastAsia" w:ascii="仿宋_GB2312" w:hAnsi="仿宋_GB2312" w:eastAsia="仿宋_GB2312" w:cs="仿宋_GB2312"/>
                <w:w w:val="99"/>
                <w:sz w:val="24"/>
                <w:szCs w:val="20"/>
              </w:rPr>
              <w:t>2</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09" w:type="dxa"/>
          </w:tcPr>
          <w:p>
            <w:pPr>
              <w:pStyle w:val="20"/>
              <w:spacing w:before="98"/>
              <w:ind w:left="9"/>
              <w:jc w:val="center"/>
              <w:rPr>
                <w:rFonts w:hint="eastAsia" w:ascii="仿宋_GB2312" w:hAnsi="仿宋_GB2312" w:eastAsia="仿宋_GB2312" w:cs="仿宋_GB2312"/>
                <w:sz w:val="24"/>
                <w:szCs w:val="20"/>
              </w:rPr>
            </w:pPr>
            <w:r>
              <w:rPr>
                <w:rFonts w:hint="eastAsia" w:ascii="仿宋_GB2312" w:hAnsi="仿宋_GB2312" w:eastAsia="仿宋_GB2312" w:cs="仿宋_GB2312"/>
                <w:w w:val="99"/>
                <w:sz w:val="24"/>
                <w:szCs w:val="20"/>
              </w:rPr>
              <w:t>3</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09" w:type="dxa"/>
          </w:tcPr>
          <w:p>
            <w:pPr>
              <w:pStyle w:val="20"/>
              <w:spacing w:before="98"/>
              <w:ind w:left="9"/>
              <w:jc w:val="center"/>
              <w:rPr>
                <w:rFonts w:hint="eastAsia" w:ascii="仿宋_GB2312" w:hAnsi="仿宋_GB2312" w:eastAsia="仿宋_GB2312" w:cs="仿宋_GB2312"/>
                <w:sz w:val="24"/>
                <w:szCs w:val="20"/>
              </w:rPr>
            </w:pPr>
            <w:r>
              <w:rPr>
                <w:rFonts w:hint="eastAsia" w:ascii="仿宋_GB2312" w:hAnsi="仿宋_GB2312" w:eastAsia="仿宋_GB2312" w:cs="仿宋_GB2312"/>
                <w:w w:val="99"/>
                <w:sz w:val="24"/>
                <w:szCs w:val="20"/>
              </w:rPr>
              <w:t>4</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09" w:type="dxa"/>
          </w:tcPr>
          <w:p>
            <w:pPr>
              <w:pStyle w:val="20"/>
              <w:spacing w:before="98"/>
              <w:ind w:left="9"/>
              <w:jc w:val="center"/>
              <w:rPr>
                <w:rFonts w:hint="eastAsia" w:ascii="仿宋_GB2312" w:hAnsi="仿宋_GB2312" w:eastAsia="仿宋_GB2312" w:cs="仿宋_GB2312"/>
                <w:sz w:val="24"/>
                <w:szCs w:val="20"/>
              </w:rPr>
            </w:pPr>
            <w:r>
              <w:rPr>
                <w:rFonts w:hint="eastAsia" w:ascii="仿宋_GB2312" w:hAnsi="仿宋_GB2312" w:eastAsia="仿宋_GB2312" w:cs="仿宋_GB2312"/>
                <w:w w:val="99"/>
                <w:sz w:val="24"/>
                <w:szCs w:val="20"/>
              </w:rPr>
              <w:t>5</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09" w:type="dxa"/>
          </w:tcPr>
          <w:p>
            <w:pPr>
              <w:pStyle w:val="20"/>
              <w:spacing w:before="98"/>
              <w:ind w:left="9"/>
              <w:jc w:val="center"/>
              <w:rPr>
                <w:rFonts w:hint="eastAsia" w:ascii="仿宋_GB2312" w:hAnsi="仿宋_GB2312" w:eastAsia="仿宋_GB2312" w:cs="仿宋_GB2312"/>
                <w:sz w:val="24"/>
                <w:szCs w:val="20"/>
              </w:rPr>
            </w:pPr>
            <w:r>
              <w:rPr>
                <w:rFonts w:hint="eastAsia" w:ascii="仿宋_GB2312" w:hAnsi="仿宋_GB2312" w:eastAsia="仿宋_GB2312" w:cs="仿宋_GB2312"/>
                <w:w w:val="99"/>
                <w:sz w:val="24"/>
                <w:szCs w:val="20"/>
              </w:rPr>
              <w:t>6</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709" w:type="dxa"/>
          </w:tcPr>
          <w:p>
            <w:pPr>
              <w:pStyle w:val="20"/>
              <w:spacing w:before="98"/>
              <w:ind w:left="9"/>
              <w:jc w:val="center"/>
              <w:rPr>
                <w:rFonts w:hint="eastAsia" w:ascii="仿宋_GB2312" w:hAnsi="仿宋_GB2312" w:eastAsia="仿宋_GB2312" w:cs="仿宋_GB2312"/>
                <w:sz w:val="24"/>
                <w:szCs w:val="20"/>
              </w:rPr>
            </w:pPr>
            <w:r>
              <w:rPr>
                <w:rFonts w:hint="eastAsia" w:ascii="仿宋_GB2312" w:hAnsi="仿宋_GB2312" w:eastAsia="仿宋_GB2312" w:cs="仿宋_GB2312"/>
                <w:w w:val="99"/>
                <w:sz w:val="24"/>
                <w:szCs w:val="20"/>
              </w:rPr>
              <w:t>7</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09" w:type="dxa"/>
          </w:tcPr>
          <w:p>
            <w:pPr>
              <w:pStyle w:val="20"/>
              <w:spacing w:before="98"/>
              <w:ind w:left="9"/>
              <w:jc w:val="center"/>
              <w:rPr>
                <w:rFonts w:hint="eastAsia" w:ascii="仿宋_GB2312" w:hAnsi="仿宋_GB2312" w:eastAsia="仿宋_GB2312" w:cs="仿宋_GB2312"/>
                <w:sz w:val="24"/>
                <w:szCs w:val="20"/>
              </w:rPr>
            </w:pPr>
            <w:r>
              <w:rPr>
                <w:rFonts w:hint="eastAsia" w:ascii="仿宋_GB2312" w:hAnsi="仿宋_GB2312" w:eastAsia="仿宋_GB2312" w:cs="仿宋_GB2312"/>
                <w:w w:val="99"/>
                <w:sz w:val="24"/>
                <w:szCs w:val="20"/>
              </w:rPr>
              <w:t>8</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09" w:type="dxa"/>
          </w:tcPr>
          <w:p>
            <w:pPr>
              <w:pStyle w:val="20"/>
              <w:spacing w:before="98"/>
              <w:ind w:left="9"/>
              <w:jc w:val="center"/>
              <w:rPr>
                <w:rFonts w:hint="eastAsia" w:ascii="仿宋_GB2312" w:hAnsi="仿宋_GB2312" w:eastAsia="仿宋_GB2312" w:cs="仿宋_GB2312"/>
                <w:sz w:val="24"/>
                <w:szCs w:val="20"/>
              </w:rPr>
            </w:pPr>
            <w:r>
              <w:rPr>
                <w:rFonts w:hint="eastAsia" w:ascii="仿宋_GB2312" w:hAnsi="仿宋_GB2312" w:eastAsia="仿宋_GB2312" w:cs="仿宋_GB2312"/>
                <w:w w:val="99"/>
                <w:sz w:val="24"/>
                <w:szCs w:val="20"/>
              </w:rPr>
              <w:t>9</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709" w:type="dxa"/>
          </w:tcPr>
          <w:p>
            <w:pPr>
              <w:pStyle w:val="20"/>
              <w:spacing w:before="98"/>
              <w:ind w:left="99" w:right="88"/>
              <w:jc w:val="center"/>
              <w:rPr>
                <w:rFonts w:hint="eastAsia" w:ascii="仿宋_GB2312" w:hAnsi="仿宋_GB2312" w:eastAsia="仿宋_GB2312" w:cs="仿宋_GB2312"/>
                <w:sz w:val="24"/>
                <w:szCs w:val="20"/>
              </w:rPr>
            </w:pPr>
            <w:r>
              <w:rPr>
                <w:rFonts w:hint="eastAsia" w:ascii="仿宋_GB2312" w:hAnsi="仿宋_GB2312" w:eastAsia="仿宋_GB2312" w:cs="仿宋_GB2312"/>
                <w:sz w:val="24"/>
                <w:szCs w:val="20"/>
              </w:rPr>
              <w:t>10</w:t>
            </w:r>
          </w:p>
        </w:tc>
        <w:tc>
          <w:tcPr>
            <w:tcW w:w="1229"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32" w:type="dxa"/>
          </w:tcPr>
          <w:p>
            <w:pPr>
              <w:pStyle w:val="20"/>
              <w:rPr>
                <w:rFonts w:hint="eastAsia" w:ascii="仿宋_GB2312" w:hAnsi="仿宋_GB2312" w:eastAsia="仿宋_GB2312" w:cs="仿宋_GB2312"/>
                <w:sz w:val="26"/>
                <w:szCs w:val="20"/>
              </w:rPr>
            </w:pPr>
          </w:p>
        </w:tc>
        <w:tc>
          <w:tcPr>
            <w:tcW w:w="567" w:type="dxa"/>
          </w:tcPr>
          <w:p>
            <w:pPr>
              <w:pStyle w:val="20"/>
              <w:rPr>
                <w:rFonts w:hint="eastAsia" w:ascii="仿宋_GB2312" w:hAnsi="仿宋_GB2312" w:eastAsia="仿宋_GB2312" w:cs="仿宋_GB2312"/>
                <w:sz w:val="26"/>
                <w:szCs w:val="20"/>
              </w:rPr>
            </w:pPr>
          </w:p>
        </w:tc>
        <w:tc>
          <w:tcPr>
            <w:tcW w:w="708" w:type="dxa"/>
          </w:tcPr>
          <w:p>
            <w:pPr>
              <w:pStyle w:val="20"/>
              <w:rPr>
                <w:rFonts w:hint="eastAsia" w:ascii="仿宋_GB2312" w:hAnsi="仿宋_GB2312" w:eastAsia="仿宋_GB2312" w:cs="仿宋_GB2312"/>
                <w:sz w:val="26"/>
                <w:szCs w:val="20"/>
              </w:rPr>
            </w:pPr>
          </w:p>
        </w:tc>
        <w:tc>
          <w:tcPr>
            <w:tcW w:w="1747"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30"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8" w:type="dxa"/>
          </w:tcPr>
          <w:p>
            <w:pPr>
              <w:pStyle w:val="20"/>
              <w:rPr>
                <w:rFonts w:hint="eastAsia" w:ascii="仿宋_GB2312" w:hAnsi="仿宋_GB2312" w:eastAsia="仿宋_GB2312" w:cs="仿宋_GB2312"/>
                <w:sz w:val="26"/>
                <w:szCs w:val="20"/>
              </w:rPr>
            </w:pPr>
          </w:p>
        </w:tc>
        <w:tc>
          <w:tcPr>
            <w:tcW w:w="1229" w:type="dxa"/>
          </w:tcPr>
          <w:p>
            <w:pPr>
              <w:pStyle w:val="20"/>
              <w:rPr>
                <w:rFonts w:hint="eastAsia" w:ascii="仿宋_GB2312" w:hAnsi="仿宋_GB2312" w:eastAsia="仿宋_GB2312" w:cs="仿宋_GB2312"/>
                <w:sz w:val="26"/>
                <w:szCs w:val="20"/>
              </w:rPr>
            </w:pPr>
          </w:p>
        </w:tc>
        <w:tc>
          <w:tcPr>
            <w:tcW w:w="976" w:type="dxa"/>
          </w:tcPr>
          <w:p>
            <w:pPr>
              <w:pStyle w:val="20"/>
              <w:rPr>
                <w:rFonts w:hint="eastAsia" w:ascii="仿宋_GB2312" w:hAnsi="仿宋_GB2312" w:eastAsia="仿宋_GB2312" w:cs="仿宋_GB2312"/>
                <w:sz w:val="26"/>
                <w:szCs w:val="20"/>
              </w:rPr>
            </w:pPr>
          </w:p>
        </w:tc>
      </w:tr>
    </w:tbl>
    <w:p>
      <w:pPr>
        <w:tabs>
          <w:tab w:val="left" w:pos="11034"/>
          <w:tab w:val="left" w:pos="12653"/>
          <w:tab w:val="left" w:pos="13253"/>
          <w:tab w:val="left" w:pos="13853"/>
        </w:tabs>
        <w:rPr>
          <w:rFonts w:ascii="仿宋" w:hAnsi="仿宋" w:eastAsia="仿宋"/>
          <w:sz w:val="32"/>
          <w:szCs w:val="32"/>
        </w:rPr>
      </w:pPr>
      <w:r>
        <w:rPr>
          <w:rFonts w:hint="eastAsia" w:ascii="仿宋" w:hAnsi="仿宋" w:eastAsia="仿宋"/>
          <w:sz w:val="32"/>
          <w:szCs w:val="32"/>
        </w:rPr>
        <w:t>单位：</w:t>
      </w:r>
    </w:p>
    <w:p>
      <w:pPr>
        <w:tabs>
          <w:tab w:val="left" w:pos="11034"/>
          <w:tab w:val="left" w:pos="12653"/>
          <w:tab w:val="left" w:pos="13253"/>
          <w:tab w:val="left" w:pos="13853"/>
        </w:tabs>
        <w:rPr>
          <w:rFonts w:ascii="仿宋" w:hAnsi="仿宋" w:eastAsia="仿宋"/>
          <w:sz w:val="32"/>
          <w:szCs w:val="32"/>
        </w:rPr>
      </w:pPr>
    </w:p>
    <w:p>
      <w:pPr>
        <w:rPr>
          <w:rFonts w:hint="eastAsia" w:ascii="仿宋" w:hAnsi="仿宋" w:eastAsia="仿宋"/>
          <w:sz w:val="32"/>
          <w:szCs w:val="32"/>
        </w:rPr>
      </w:pPr>
      <w:r>
        <w:rPr>
          <w:rFonts w:ascii="仿宋" w:hAnsi="仿宋" w:eastAsia="仿宋"/>
          <w:sz w:val="32"/>
          <w:szCs w:val="32"/>
        </w:rPr>
        <w:t>检查人：</w:t>
      </w:r>
      <w:r>
        <w:rPr>
          <w:rFonts w:hint="eastAsia" w:ascii="仿宋" w:hAnsi="仿宋" w:eastAsia="仿宋"/>
          <w:sz w:val="32"/>
          <w:szCs w:val="32"/>
        </w:rPr>
        <w:t xml:space="preserve">                                               检查时间：    年   月   </w:t>
      </w:r>
    </w:p>
    <w:p>
      <w:pPr>
        <w:pStyle w:val="2"/>
        <w:sectPr>
          <w:type w:val="continuous"/>
          <w:pgSz w:w="16838" w:h="11911" w:orient="landscape"/>
          <w:pgMar w:top="1701" w:right="1417" w:bottom="1417" w:left="1417" w:header="850" w:footer="992" w:gutter="0"/>
          <w:pgNumType w:fmt="decimal"/>
          <w:cols w:space="0" w:num="1"/>
          <w:rtlGutter w:val="0"/>
          <w:docGrid w:linePitch="0" w:charSpace="0"/>
        </w:sectPr>
      </w:pPr>
    </w:p>
    <w:p>
      <w:pPr>
        <w:spacing w:line="460" w:lineRule="exact"/>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7</w:t>
      </w:r>
    </w:p>
    <w:p>
      <w:pPr>
        <w:pStyle w:val="3"/>
        <w:keepNext w:val="0"/>
        <w:keepLines w:val="0"/>
        <w:pageBreakBefore w:val="0"/>
        <w:kinsoku/>
        <w:wordWrap/>
        <w:overflowPunct/>
        <w:topLinePunct w:val="0"/>
        <w:autoSpaceDE/>
        <w:autoSpaceDN/>
        <w:bidi w:val="0"/>
        <w:spacing w:after="0" w:line="560" w:lineRule="exact"/>
        <w:textAlignment w:val="auto"/>
        <w:outlineLvl w:val="9"/>
        <w:rPr>
          <w:rFonts w:hint="eastAsia"/>
          <w:lang w:val="en-US" w:eastAsia="zh-CN"/>
        </w:rPr>
      </w:pPr>
    </w:p>
    <w:p>
      <w:pPr>
        <w:keepNext w:val="0"/>
        <w:keepLines w:val="0"/>
        <w:pageBreakBefore w:val="0"/>
        <w:widowControl/>
        <w:kinsoku/>
        <w:wordWrap/>
        <w:overflowPunct/>
        <w:topLinePunct w:val="0"/>
        <w:autoSpaceDE/>
        <w:autoSpaceDN/>
        <w:bidi w:val="0"/>
        <w:adjustRightInd w:val="0"/>
        <w:snapToGrid w:val="0"/>
        <w:spacing w:after="0" w:line="560" w:lineRule="exact"/>
        <w:ind w:firstLine="880" w:firstLineChars="20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kern w:val="2"/>
          <w:sz w:val="44"/>
          <w:szCs w:val="44"/>
        </w:rPr>
        <w:t>附子煎煮规定</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hint="eastAsia" w:ascii="仿宋_GB2312" w:hAnsi="仿宋_GB2312" w:eastAsia="仿宋_GB2312" w:cs="仿宋_GB2312"/>
          <w:kern w:val="2"/>
          <w:sz w:val="32"/>
          <w:szCs w:val="32"/>
        </w:rPr>
      </w:pP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附子煎煮规定：先煎，久煎，煎透至一捏就烂，毒性降低，入口无麻舌感。如合作医院对附子煎煮有特殊要求，在签订服务协议时将附子的煎煮要求纳入服务协议内。附子先煎应遵循以下规定：（注：本规定中附子的剂量为一剂的量，不是药方的总量；先煎时间应从煮沸后算起。）</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ascii="仿宋_GB2312" w:hAnsi="仿宋_GB2312" w:eastAsia="仿宋_GB2312" w:cs="仿宋_GB2312"/>
          <w:kern w:val="2"/>
          <w:sz w:val="32"/>
          <w:szCs w:val="32"/>
        </w:rPr>
        <w:t>1.</w:t>
      </w:r>
      <w:r>
        <w:rPr>
          <w:rFonts w:hint="eastAsia" w:ascii="仿宋_GB2312" w:hAnsi="仿宋_GB2312" w:eastAsia="仿宋_GB2312" w:cs="仿宋_GB2312"/>
          <w:kern w:val="2"/>
          <w:sz w:val="32"/>
          <w:szCs w:val="32"/>
        </w:rPr>
        <w:t>处方附子15g（包括15g）以下：</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ascii="仿宋_GB2312" w:hAnsi="仿宋_GB2312" w:eastAsia="仿宋_GB2312" w:cs="仿宋_GB2312"/>
          <w:kern w:val="2"/>
          <w:sz w:val="32"/>
          <w:szCs w:val="32"/>
        </w:rPr>
        <w:t>1.1</w:t>
      </w:r>
      <w:r>
        <w:rPr>
          <w:rFonts w:hint="eastAsia" w:ascii="仿宋_GB2312" w:hAnsi="仿宋_GB2312" w:eastAsia="仿宋_GB2312" w:cs="仿宋_GB2312"/>
          <w:kern w:val="2"/>
          <w:sz w:val="32"/>
          <w:szCs w:val="32"/>
        </w:rPr>
        <w:t>医师未注明“先煎”的，一般与其它药同煎。</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ascii="仿宋_GB2312" w:hAnsi="仿宋_GB2312" w:eastAsia="仿宋_GB2312" w:cs="仿宋_GB2312"/>
          <w:kern w:val="2"/>
          <w:sz w:val="32"/>
          <w:szCs w:val="32"/>
        </w:rPr>
        <w:t>1</w:t>
      </w:r>
      <w:r>
        <w:rPr>
          <w:rFonts w:hint="eastAsia" w:ascii="仿宋_GB2312" w:hAnsi="仿宋_GB2312" w:eastAsia="仿宋_GB2312" w:cs="仿宋_GB2312"/>
          <w:kern w:val="2"/>
          <w:sz w:val="32"/>
          <w:szCs w:val="32"/>
        </w:rPr>
        <w:t>.</w:t>
      </w:r>
      <w:r>
        <w:rPr>
          <w:rFonts w:ascii="仿宋_GB2312" w:hAnsi="仿宋_GB2312" w:eastAsia="仿宋_GB2312" w:cs="仿宋_GB2312"/>
          <w:kern w:val="2"/>
          <w:sz w:val="32"/>
          <w:szCs w:val="32"/>
        </w:rPr>
        <w:t>2</w:t>
      </w:r>
      <w:r>
        <w:rPr>
          <w:rFonts w:hint="eastAsia" w:ascii="仿宋_GB2312" w:hAnsi="仿宋_GB2312" w:eastAsia="仿宋_GB2312" w:cs="仿宋_GB2312"/>
          <w:kern w:val="2"/>
          <w:sz w:val="32"/>
          <w:szCs w:val="32"/>
        </w:rPr>
        <w:t>医师只写“先煎”未注明先煎时间的，按一般药物的先煎方法进行先煎（中药煎煮室管理规范先煎药要求先煎20～30min），再与其它药同煎。</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ascii="仿宋_GB2312" w:hAnsi="仿宋_GB2312" w:eastAsia="仿宋_GB2312" w:cs="仿宋_GB2312"/>
          <w:kern w:val="2"/>
          <w:sz w:val="32"/>
          <w:szCs w:val="32"/>
        </w:rPr>
        <w:t>1</w:t>
      </w:r>
      <w:r>
        <w:rPr>
          <w:rFonts w:hint="eastAsia" w:ascii="仿宋_GB2312" w:hAnsi="仿宋_GB2312" w:eastAsia="仿宋_GB2312" w:cs="仿宋_GB2312"/>
          <w:kern w:val="2"/>
          <w:sz w:val="32"/>
          <w:szCs w:val="32"/>
        </w:rPr>
        <w:t>.</w:t>
      </w:r>
      <w:r>
        <w:rPr>
          <w:rFonts w:ascii="仿宋_GB2312" w:hAnsi="仿宋_GB2312" w:eastAsia="仿宋_GB2312" w:cs="仿宋_GB2312"/>
          <w:kern w:val="2"/>
          <w:sz w:val="32"/>
          <w:szCs w:val="32"/>
        </w:rPr>
        <w:t>3</w:t>
      </w:r>
      <w:r>
        <w:rPr>
          <w:rFonts w:hint="eastAsia" w:ascii="仿宋_GB2312" w:hAnsi="仿宋_GB2312" w:eastAsia="仿宋_GB2312" w:cs="仿宋_GB2312"/>
          <w:kern w:val="2"/>
          <w:sz w:val="32"/>
          <w:szCs w:val="32"/>
        </w:rPr>
        <w:t>医师写“先煎”，并注明先煎时间的则按医师要求操作，先煎相应的时间后，再与其它药同煎。</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2.处方附子16g～30g（包括30g）：</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2.1医师未注明“先煎”的，一般与其它药同煎，但煎煮时间应适当加长。</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2.2医师只写“先煎”未注明先煎时间的，附子不用浸泡，应先煎1h，再与其它药同煎。</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2.3医师写“先煎”，并注明先煎时间的则按医师要求操作，先煎相应时间后，再与其它药同煎。</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ascii="仿宋_GB2312" w:hAnsi="仿宋_GB2312" w:eastAsia="仿宋_GB2312" w:cs="仿宋_GB2312"/>
          <w:kern w:val="2"/>
          <w:sz w:val="32"/>
          <w:szCs w:val="32"/>
        </w:rPr>
        <w:t>3.</w:t>
      </w:r>
      <w:r>
        <w:rPr>
          <w:rFonts w:hint="eastAsia" w:ascii="仿宋_GB2312" w:hAnsi="仿宋_GB2312" w:eastAsia="仿宋_GB2312" w:cs="仿宋_GB2312"/>
          <w:kern w:val="2"/>
          <w:sz w:val="32"/>
          <w:szCs w:val="32"/>
        </w:rPr>
        <w:t>处方附子30g以上：</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ascii="仿宋_GB2312" w:hAnsi="仿宋_GB2312" w:eastAsia="仿宋_GB2312" w:cs="仿宋_GB2312"/>
          <w:kern w:val="2"/>
          <w:sz w:val="32"/>
          <w:szCs w:val="32"/>
        </w:rPr>
        <w:t>3</w:t>
      </w:r>
      <w:r>
        <w:rPr>
          <w:rFonts w:hint="eastAsia" w:ascii="仿宋_GB2312" w:hAnsi="仿宋_GB2312" w:eastAsia="仿宋_GB2312" w:cs="仿宋_GB2312"/>
          <w:kern w:val="2"/>
          <w:sz w:val="32"/>
          <w:szCs w:val="32"/>
        </w:rPr>
        <w:t>.1医师未注明“先煎”的，一定注意先与医生沟通，征求其意见，确认不用先煎的则与其它药同煎，但煎煮时间应适当加长。</w:t>
      </w:r>
    </w:p>
    <w:p>
      <w:pPr>
        <w:keepNext w:val="0"/>
        <w:keepLines w:val="0"/>
        <w:pageBreakBefore w:val="0"/>
        <w:kinsoku/>
        <w:wordWrap/>
        <w:overflowPunct/>
        <w:topLinePunct w:val="0"/>
        <w:autoSpaceDE/>
        <w:autoSpaceDN/>
        <w:bidi w:val="0"/>
        <w:spacing w:after="0" w:line="560" w:lineRule="exact"/>
        <w:ind w:firstLine="640" w:firstLineChars="200"/>
        <w:jc w:val="both"/>
        <w:textAlignment w:val="auto"/>
        <w:outlineLvl w:val="9"/>
        <w:rPr>
          <w:rFonts w:ascii="仿宋_GB2312" w:hAnsi="仿宋_GB2312" w:eastAsia="仿宋_GB2312" w:cs="仿宋_GB2312"/>
          <w:kern w:val="2"/>
          <w:sz w:val="32"/>
          <w:szCs w:val="32"/>
        </w:rPr>
      </w:pPr>
      <w:r>
        <w:rPr>
          <w:rFonts w:ascii="仿宋_GB2312" w:hAnsi="仿宋_GB2312" w:eastAsia="仿宋_GB2312" w:cs="仿宋_GB2312"/>
          <w:kern w:val="2"/>
          <w:sz w:val="32"/>
          <w:szCs w:val="32"/>
        </w:rPr>
        <w:t>3</w:t>
      </w:r>
      <w:r>
        <w:rPr>
          <w:rFonts w:hint="eastAsia" w:ascii="仿宋_GB2312" w:hAnsi="仿宋_GB2312" w:eastAsia="仿宋_GB2312" w:cs="仿宋_GB2312"/>
          <w:kern w:val="2"/>
          <w:sz w:val="32"/>
          <w:szCs w:val="32"/>
        </w:rPr>
        <w:t>.2医师只写“先煎”，未注明先煎时间的，附子应先浸泡30min后，滤去浸泡液，加清水先煎2h，再与其它药同煎。</w:t>
      </w:r>
    </w:p>
    <w:p>
      <w:pPr>
        <w:pStyle w:val="9"/>
        <w:keepNext w:val="0"/>
        <w:keepLines w:val="0"/>
        <w:pageBreakBefore w:val="0"/>
        <w:kinsoku/>
        <w:wordWrap/>
        <w:overflowPunct/>
        <w:topLinePunct w:val="0"/>
        <w:autoSpaceDE/>
        <w:autoSpaceDN/>
        <w:bidi w:val="0"/>
        <w:spacing w:before="0" w:beforeAutospacing="0" w:after="0" w:afterAutospacing="0" w:line="560" w:lineRule="exact"/>
        <w:ind w:firstLine="640" w:firstLineChars="200"/>
        <w:jc w:val="both"/>
        <w:textAlignment w:val="auto"/>
        <w:outlineLvl w:val="9"/>
        <w:rPr>
          <w:rFonts w:ascii="仿宋_GB2312" w:hAnsi="仿宋_GB2312" w:eastAsia="仿宋_GB2312" w:cs="仿宋_GB2312"/>
          <w:kern w:val="2"/>
          <w:sz w:val="32"/>
          <w:szCs w:val="32"/>
        </w:rPr>
      </w:pPr>
      <w:r>
        <w:rPr>
          <w:rFonts w:ascii="仿宋_GB2312" w:hAnsi="仿宋_GB2312" w:eastAsia="仿宋_GB2312" w:cs="仿宋_GB2312"/>
          <w:kern w:val="2"/>
          <w:sz w:val="32"/>
          <w:szCs w:val="32"/>
        </w:rPr>
        <w:t>3</w:t>
      </w:r>
      <w:r>
        <w:rPr>
          <w:rFonts w:hint="eastAsia" w:ascii="仿宋_GB2312" w:hAnsi="仿宋_GB2312" w:eastAsia="仿宋_GB2312" w:cs="仿宋_GB2312"/>
          <w:kern w:val="2"/>
          <w:sz w:val="32"/>
          <w:szCs w:val="32"/>
        </w:rPr>
        <w:t>.3医师写“先煎”，并注明先煎时间的则按医师要求，附子应先浸泡30min以上，滤去浸泡液，加清水先煎相应的时间，再与其它药同煎。</w:t>
      </w:r>
    </w:p>
    <w:p>
      <w:pPr>
        <w:keepNext w:val="0"/>
        <w:keepLines w:val="0"/>
        <w:pageBreakBefore w:val="0"/>
        <w:tabs>
          <w:tab w:val="left" w:pos="10435"/>
          <w:tab w:val="left" w:pos="12054"/>
          <w:tab w:val="left" w:pos="12774"/>
          <w:tab w:val="left" w:pos="13494"/>
        </w:tabs>
        <w:kinsoku/>
        <w:wordWrap/>
        <w:overflowPunct/>
        <w:topLinePunct w:val="0"/>
        <w:autoSpaceDE/>
        <w:autoSpaceDN/>
        <w:bidi w:val="0"/>
        <w:spacing w:after="0" w:line="560" w:lineRule="exact"/>
        <w:textAlignment w:val="auto"/>
        <w:outlineLvl w:val="9"/>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tabs>
          <w:tab w:val="left" w:pos="10435"/>
          <w:tab w:val="left" w:pos="12054"/>
          <w:tab w:val="left" w:pos="12774"/>
          <w:tab w:val="left" w:pos="13494"/>
        </w:tabs>
        <w:rPr>
          <w:rFonts w:hint="eastAsia"/>
          <w:sz w:val="24"/>
        </w:rPr>
      </w:pPr>
    </w:p>
    <w:p>
      <w:pPr>
        <w:rPr>
          <w:rFonts w:hint="eastAsia" w:ascii="黑体" w:hAnsi="黑体" w:eastAsia="黑体" w:cs="黑体"/>
          <w:sz w:val="32"/>
          <w:szCs w:val="32"/>
        </w:rPr>
      </w:pPr>
      <w:r>
        <w:rPr>
          <w:rFonts w:hint="eastAsia" w:ascii="黑体" w:hAnsi="黑体" w:eastAsia="黑体" w:cs="黑体"/>
          <w:sz w:val="32"/>
          <w:szCs w:val="32"/>
        </w:rPr>
        <w:br w:type="page"/>
      </w:r>
    </w:p>
    <w:p>
      <w:pPr>
        <w:keepNext w:val="0"/>
        <w:keepLines w:val="0"/>
        <w:pageBreakBefore w:val="0"/>
        <w:tabs>
          <w:tab w:val="left" w:pos="10435"/>
          <w:tab w:val="left" w:pos="12054"/>
          <w:tab w:val="left" w:pos="12774"/>
          <w:tab w:val="left" w:pos="13494"/>
        </w:tabs>
        <w:kinsoku/>
        <w:wordWrap/>
        <w:overflowPunct/>
        <w:topLinePunct w:val="0"/>
        <w:autoSpaceDE/>
        <w:autoSpaceDN/>
        <w:bidi w:val="0"/>
        <w:spacing w:after="0" w:line="560" w:lineRule="exact"/>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8</w:t>
      </w:r>
    </w:p>
    <w:p>
      <w:pPr>
        <w:pStyle w:val="2"/>
        <w:rPr>
          <w:rFonts w:hint="default"/>
          <w:lang w:val="en-US" w:eastAsia="zh-CN"/>
        </w:rPr>
      </w:pPr>
    </w:p>
    <w:p>
      <w:pPr>
        <w:keepNext w:val="0"/>
        <w:keepLines w:val="0"/>
        <w:pageBreakBefore w:val="0"/>
        <w:widowControl/>
        <w:kinsoku/>
        <w:wordWrap/>
        <w:overflowPunct/>
        <w:topLinePunct w:val="0"/>
        <w:autoSpaceDE/>
        <w:autoSpaceDN/>
        <w:bidi w:val="0"/>
        <w:adjustRightInd w:val="0"/>
        <w:snapToGrid w:val="0"/>
        <w:spacing w:after="0" w:line="560" w:lineRule="exact"/>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广西中药饮片代煎质量管理规范</w:t>
      </w:r>
    </w:p>
    <w:p>
      <w:pPr>
        <w:keepNext w:val="0"/>
        <w:keepLines w:val="0"/>
        <w:pageBreakBefore w:val="0"/>
        <w:widowControl/>
        <w:kinsoku/>
        <w:wordWrap/>
        <w:overflowPunct/>
        <w:topLinePunct w:val="0"/>
        <w:autoSpaceDE/>
        <w:autoSpaceDN/>
        <w:bidi w:val="0"/>
        <w:adjustRightInd w:val="0"/>
        <w:snapToGrid w:val="0"/>
        <w:spacing w:after="0" w:line="560" w:lineRule="exact"/>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资质评估现场检查细则</w:t>
      </w:r>
    </w:p>
    <w:p>
      <w:pPr>
        <w:pStyle w:val="3"/>
        <w:keepNext w:val="0"/>
        <w:keepLines w:val="0"/>
        <w:pageBreakBefore w:val="0"/>
        <w:kinsoku/>
        <w:wordWrap/>
        <w:overflowPunct/>
        <w:topLinePunct w:val="0"/>
        <w:autoSpaceDE/>
        <w:autoSpaceDN/>
        <w:bidi w:val="0"/>
        <w:spacing w:after="0" w:line="560" w:lineRule="exact"/>
        <w:ind w:firstLine="560"/>
        <w:jc w:val="center"/>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（征求意见稿）</w:t>
      </w:r>
    </w:p>
    <w:p>
      <w:pPr>
        <w:pStyle w:val="9"/>
        <w:keepNext w:val="0"/>
        <w:keepLines w:val="0"/>
        <w:pageBreakBefore w:val="0"/>
        <w:kinsoku/>
        <w:wordWrap/>
        <w:overflowPunct/>
        <w:topLinePunct w:val="0"/>
        <w:autoSpaceDE/>
        <w:autoSpaceDN/>
        <w:bidi w:val="0"/>
        <w:spacing w:before="0" w:beforeAutospacing="0" w:after="0" w:afterAutospacing="0" w:line="560" w:lineRule="exact"/>
        <w:ind w:firstLine="640" w:firstLineChars="200"/>
        <w:jc w:val="both"/>
        <w:textAlignment w:val="auto"/>
        <w:outlineLvl w:val="9"/>
        <w:rPr>
          <w:rFonts w:hint="eastAsia" w:ascii="仿宋_GB2312" w:hAnsi="仿宋_GB2312" w:eastAsia="仿宋_GB2312" w:cs="仿宋_GB2312"/>
          <w:kern w:val="2"/>
          <w:sz w:val="32"/>
          <w:szCs w:val="32"/>
        </w:rPr>
      </w:pPr>
    </w:p>
    <w:p>
      <w:pPr>
        <w:pStyle w:val="9"/>
        <w:keepNext w:val="0"/>
        <w:keepLines w:val="0"/>
        <w:pageBreakBefore w:val="0"/>
        <w:kinsoku/>
        <w:wordWrap/>
        <w:overflowPunct/>
        <w:topLinePunct w:val="0"/>
        <w:autoSpaceDE/>
        <w:autoSpaceDN/>
        <w:bidi w:val="0"/>
        <w:spacing w:before="0" w:beforeAutospacing="0" w:after="0" w:afterAutospacing="0" w:line="56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根据《中药煎药质量管理规范》(以下简称《规范》)编制《自治区中药煎药管理规范资质评估现场检查细则》(以下简称《检查细则》作为医疗机构委托中药煎药加工单位资质的主要评定内容和依据</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《检查细则》分企业资质、场地设施、岗位人员、中药调配、煎药操作和煎药管理六个部分</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共设检查评估内容60 项</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其中关键项目(条款前加“*”) 6项</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一般项目54 项。</w:t>
      </w:r>
    </w:p>
    <w:p>
      <w:pPr>
        <w:pStyle w:val="9"/>
        <w:keepNext w:val="0"/>
        <w:keepLines w:val="0"/>
        <w:pageBreakBefore w:val="0"/>
        <w:kinsoku/>
        <w:wordWrap/>
        <w:overflowPunct/>
        <w:topLinePunct w:val="0"/>
        <w:autoSpaceDE/>
        <w:autoSpaceDN/>
        <w:bidi w:val="0"/>
        <w:spacing w:before="0" w:beforeAutospacing="0" w:after="0" w:afterAutospacing="0" w:line="560" w:lineRule="exact"/>
        <w:jc w:val="both"/>
        <w:textAlignment w:val="auto"/>
        <w:outlineLvl w:val="9"/>
        <w:rPr>
          <w:rFonts w:hint="eastAsia" w:ascii="黑体" w:hAnsi="黑体" w:eastAsia="黑体" w:cs="黑体"/>
          <w:kern w:val="2"/>
          <w:sz w:val="32"/>
          <w:szCs w:val="32"/>
        </w:rPr>
      </w:pPr>
      <w:r>
        <w:rPr>
          <w:rFonts w:hint="eastAsia" w:ascii="黑体" w:hAnsi="黑体" w:eastAsia="黑体" w:cs="黑体"/>
          <w:kern w:val="2"/>
          <w:sz w:val="32"/>
          <w:szCs w:val="32"/>
          <w:lang w:eastAsia="zh-CN"/>
        </w:rPr>
        <w:t>　　</w:t>
      </w:r>
      <w:r>
        <w:rPr>
          <w:rFonts w:hint="eastAsia" w:ascii="黑体" w:hAnsi="黑体" w:eastAsia="黑体" w:cs="黑体"/>
          <w:kern w:val="2"/>
          <w:sz w:val="32"/>
          <w:szCs w:val="32"/>
        </w:rPr>
        <w:t>一、评估方法</w:t>
      </w:r>
    </w:p>
    <w:p>
      <w:pPr>
        <w:pStyle w:val="9"/>
        <w:keepNext w:val="0"/>
        <w:keepLines w:val="0"/>
        <w:pageBreakBefore w:val="0"/>
        <w:kinsoku/>
        <w:wordWrap/>
        <w:overflowPunct/>
        <w:topLinePunct w:val="0"/>
        <w:autoSpaceDE/>
        <w:autoSpaceDN/>
        <w:bidi w:val="0"/>
        <w:spacing w:before="0" w:beforeAutospacing="0" w:after="0" w:afterAutospacing="0" w:line="56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1</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现场评估检查采取企业汇报、资料检查、实地考查等相结合的综合评估方式。</w:t>
      </w:r>
    </w:p>
    <w:p>
      <w:pPr>
        <w:pStyle w:val="9"/>
        <w:keepNext w:val="0"/>
        <w:keepLines w:val="0"/>
        <w:pageBreakBefore w:val="0"/>
        <w:kinsoku/>
        <w:wordWrap/>
        <w:overflowPunct/>
        <w:topLinePunct w:val="0"/>
        <w:autoSpaceDE/>
        <w:autoSpaceDN/>
        <w:bidi w:val="0"/>
        <w:spacing w:before="0" w:beforeAutospacing="0" w:after="0" w:afterAutospacing="0" w:line="56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检查小组根据《检细则》所列条款的评估检合内讷容进行全面检查</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并逐条作出评定。</w:t>
      </w:r>
    </w:p>
    <w:p>
      <w:pPr>
        <w:pStyle w:val="9"/>
        <w:keepNext w:val="0"/>
        <w:keepLines w:val="0"/>
        <w:pageBreakBefore w:val="0"/>
        <w:kinsoku/>
        <w:wordWrap/>
        <w:overflowPunct/>
        <w:topLinePunct w:val="0"/>
        <w:autoSpaceDE/>
        <w:autoSpaceDN/>
        <w:bidi w:val="0"/>
        <w:spacing w:before="0" w:beforeAutospacing="0" w:after="0" w:afterAutospacing="0" w:line="56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3</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每一条款评估检查内容凡未达标的</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该条款即为缺陷项目。其中</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关键项目不合格为严重缺陷</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一般项目不合格为一般缺陷。</w:t>
      </w:r>
    </w:p>
    <w:p>
      <w:pPr>
        <w:pStyle w:val="9"/>
        <w:keepNext w:val="0"/>
        <w:keepLines w:val="0"/>
        <w:pageBreakBefore w:val="0"/>
        <w:kinsoku/>
        <w:wordWrap/>
        <w:overflowPunct/>
        <w:topLinePunct w:val="0"/>
        <w:autoSpaceDE/>
        <w:autoSpaceDN/>
        <w:bidi w:val="0"/>
        <w:spacing w:before="0" w:beforeAutospacing="0" w:after="0" w:afterAutospacing="0" w:line="560" w:lineRule="exact"/>
        <w:ind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4</w:t>
      </w:r>
      <w:r>
        <w:rPr>
          <w:rFonts w:hint="eastAsia" w:ascii="仿宋_GB2312" w:hAnsi="仿宋_GB2312" w:eastAsia="仿宋_GB2312" w:cs="仿宋_GB2312"/>
          <w:kern w:val="2"/>
          <w:sz w:val="32"/>
          <w:szCs w:val="32"/>
          <w:lang w:val="en-US" w:eastAsia="zh-CN"/>
        </w:rPr>
        <w:t>.</w:t>
      </w:r>
      <w:r>
        <w:rPr>
          <w:rFonts w:hint="eastAsia" w:ascii="仿宋_GB2312" w:hAnsi="仿宋_GB2312" w:eastAsia="仿宋_GB2312" w:cs="仿宋_GB2312"/>
          <w:kern w:val="2"/>
          <w:sz w:val="32"/>
          <w:szCs w:val="32"/>
        </w:rPr>
        <w:t>合理缺项认定原则:企业不涉及的项目</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即为合理缺项。理缺项不予评定</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计算缺陷率时</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从标准项目总数中减去合理缺项数；</w:t>
      </w:r>
    </w:p>
    <w:p>
      <w:pPr>
        <w:pStyle w:val="3"/>
        <w:keepNext w:val="0"/>
        <w:keepLines w:val="0"/>
        <w:pageBreakBefore w:val="0"/>
        <w:kinsoku/>
        <w:wordWrap/>
        <w:overflowPunct/>
        <w:topLinePunct w:val="0"/>
        <w:autoSpaceDE/>
        <w:autoSpaceDN/>
        <w:bidi w:val="0"/>
        <w:spacing w:after="0" w:line="560" w:lineRule="exact"/>
        <w:ind w:firstLine="0" w:firstLineChars="0"/>
        <w:textAlignment w:val="auto"/>
        <w:outlineLvl w:val="9"/>
        <w:rPr>
          <w:rFonts w:hint="eastAsia" w:ascii="仿宋_GB2312" w:hAnsi="仿宋_GB2312" w:eastAsia="仿宋_GB2312" w:cs="仿宋_GB2312"/>
          <w:sz w:val="32"/>
          <w:szCs w:val="32"/>
        </w:rPr>
        <w:sectPr>
          <w:footerReference r:id="rId11" w:type="default"/>
          <w:pgSz w:w="11911" w:h="16838"/>
          <w:pgMar w:top="1701" w:right="1417" w:bottom="1417" w:left="1701" w:header="850" w:footer="992" w:gutter="0"/>
          <w:pgNumType w:fmt="decimal"/>
          <w:cols w:space="0" w:num="1"/>
          <w:rtlGutter w:val="0"/>
          <w:docGrid w:linePitch="0" w:charSpace="0"/>
        </w:sectPr>
      </w:pPr>
    </w:p>
    <w:p>
      <w:pPr>
        <w:pStyle w:val="9"/>
        <w:keepNext w:val="0"/>
        <w:keepLines w:val="0"/>
        <w:pageBreakBefore w:val="0"/>
        <w:kinsoku/>
        <w:wordWrap/>
        <w:overflowPunct/>
        <w:topLinePunct w:val="0"/>
        <w:autoSpaceDE/>
        <w:autoSpaceDN/>
        <w:bidi w:val="0"/>
        <w:spacing w:before="0" w:beforeAutospacing="0" w:after="0" w:afterAutospacing="0" w:line="560" w:lineRule="exact"/>
        <w:jc w:val="both"/>
        <w:textAlignment w:val="auto"/>
        <w:outlineLvl w:val="9"/>
        <w:rPr>
          <w:rFonts w:hint="eastAsia" w:ascii="仿宋_GB2312" w:hAnsi="仿宋_GB2312" w:eastAsia="仿宋_GB2312" w:cs="仿宋_GB2312"/>
          <w:kern w:val="2"/>
          <w:sz w:val="32"/>
          <w:szCs w:val="32"/>
          <w:lang w:eastAsia="zh-CN"/>
        </w:rPr>
      </w:pPr>
      <w:r>
        <w:rPr>
          <w:rFonts w:hint="eastAsia" w:ascii="仿宋_GB2312" w:hAnsi="仿宋_GB2312" w:eastAsia="仿宋_GB2312" w:cs="仿宋_GB2312"/>
          <w:kern w:val="2"/>
          <w:sz w:val="32"/>
          <w:szCs w:val="32"/>
        </w:rPr>
        <w:t>计算公式为</w:t>
      </w:r>
      <w:r>
        <w:rPr>
          <w:rFonts w:hint="eastAsia" w:ascii="仿宋_GB2312" w:hAnsi="仿宋_GB2312" w:eastAsia="仿宋_GB2312" w:cs="仿宋_GB2312"/>
          <w:kern w:val="2"/>
          <w:sz w:val="32"/>
          <w:szCs w:val="32"/>
          <w:lang w:eastAsia="zh-CN"/>
        </w:rPr>
        <w:t>：</w:t>
      </w:r>
    </w:p>
    <w:p>
      <w:pPr>
        <w:pStyle w:val="9"/>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outlineLvl w:val="9"/>
        <w:rPr>
          <w:rFonts w:hint="eastAsia" w:ascii="仿宋_GB2312" w:hAnsi="仿宋_GB2312" w:eastAsia="仿宋_GB2312" w:cs="仿宋_GB2312"/>
          <w:kern w:val="2"/>
          <w:sz w:val="32"/>
          <w:szCs w:val="32"/>
        </w:rPr>
      </w:pPr>
      <m:oMath>
        <m:r>
          <m:rPr>
            <m:sty m:val="p"/>
          </m:rPr>
          <w:rPr>
            <w:rFonts w:hint="eastAsia" w:ascii="Cambria Math" w:hAnsi="Cambria Math" w:eastAsia="仿宋_GB2312" w:cs="仿宋_GB2312"/>
            <w:kern w:val="2"/>
            <w:sz w:val="30"/>
            <w:szCs w:val="30"/>
          </w:rPr>
          <m:t>缺陷率=</m:t>
        </m:r>
        <m:f>
          <m:fPr>
            <m:ctrlPr>
              <w:rPr>
                <w:rFonts w:hint="eastAsia" w:ascii="Cambria Math" w:hAnsi="Cambria Math" w:eastAsia="仿宋_GB2312" w:cs="仿宋_GB2312"/>
                <w:kern w:val="2"/>
                <w:sz w:val="30"/>
                <w:szCs w:val="30"/>
              </w:rPr>
            </m:ctrlPr>
          </m:fPr>
          <m:num>
            <m:r>
              <m:rPr>
                <m:sty m:val="p"/>
              </m:rPr>
              <w:rPr>
                <w:rFonts w:hint="eastAsia" w:ascii="Cambria Math" w:hAnsi="Cambria Math" w:eastAsia="仿宋_GB2312" w:cs="仿宋_GB2312"/>
                <w:kern w:val="2"/>
                <w:sz w:val="30"/>
                <w:szCs w:val="30"/>
              </w:rPr>
              <m:t>一般缺陷项数</m:t>
            </m:r>
            <m:ctrlPr>
              <w:rPr>
                <w:rFonts w:hint="eastAsia" w:ascii="Cambria Math" w:hAnsi="Cambria Math" w:eastAsia="仿宋_GB2312" w:cs="仿宋_GB2312"/>
                <w:kern w:val="2"/>
                <w:sz w:val="30"/>
                <w:szCs w:val="30"/>
              </w:rPr>
            </m:ctrlPr>
          </m:num>
          <m:den>
            <m:r>
              <m:rPr>
                <m:sty m:val="p"/>
              </m:rPr>
              <w:rPr>
                <w:rFonts w:hint="eastAsia" w:ascii="Cambria Math" w:hAnsi="Cambria Math" w:eastAsia="仿宋_GB2312" w:cs="仿宋_GB2312"/>
                <w:kern w:val="2"/>
                <w:sz w:val="30"/>
                <w:szCs w:val="30"/>
              </w:rPr>
              <m:t>一般项目总数−一般合理缺项数</m:t>
            </m:r>
            <m:ctrlPr>
              <w:rPr>
                <w:rFonts w:hint="eastAsia" w:ascii="Cambria Math" w:hAnsi="Cambria Math" w:eastAsia="仿宋_GB2312" w:cs="仿宋_GB2312"/>
                <w:kern w:val="2"/>
                <w:sz w:val="30"/>
                <w:szCs w:val="30"/>
              </w:rPr>
            </m:ctrlPr>
          </m:den>
        </m:f>
      </m:oMath>
      <w:r>
        <w:rPr>
          <w:rFonts w:hint="eastAsia" w:ascii="仿宋_GB2312" w:hAnsi="仿宋_GB2312" w:eastAsia="仿宋_GB2312" w:cs="仿宋_GB2312"/>
          <w:kern w:val="2"/>
          <w:sz w:val="30"/>
          <w:szCs w:val="30"/>
          <w:lang w:val="en-US" w:eastAsia="zh-CN"/>
        </w:rPr>
        <w:t>*100%</w:t>
      </w:r>
      <w:r>
        <w:rPr>
          <w:rFonts w:hint="eastAsia" w:ascii="仿宋_GB2312" w:hAnsi="仿宋_GB2312" w:eastAsia="仿宋_GB2312" w:cs="仿宋_GB2312"/>
          <w:kern w:val="2"/>
          <w:sz w:val="30"/>
          <w:szCs w:val="30"/>
        </w:rPr>
        <w:br w:type="textWrapping"/>
      </w:r>
    </w:p>
    <w:p>
      <w:pPr>
        <w:pStyle w:val="9"/>
        <w:keepNext w:val="0"/>
        <w:keepLines w:val="0"/>
        <w:pageBreakBefore w:val="0"/>
        <w:kinsoku/>
        <w:wordWrap/>
        <w:overflowPunct/>
        <w:topLinePunct w:val="0"/>
        <w:autoSpaceDE/>
        <w:autoSpaceDN/>
        <w:bidi w:val="0"/>
        <w:spacing w:before="0" w:beforeAutospacing="0" w:after="0" w:afterAutospacing="0" w:line="560" w:lineRule="exact"/>
        <w:ind w:firstLine="480"/>
        <w:jc w:val="both"/>
        <w:textAlignment w:val="auto"/>
        <w:rPr>
          <w:rFonts w:hint="eastAsia" w:ascii="黑体" w:hAnsi="黑体" w:eastAsia="黑体" w:cs="黑体"/>
          <w:kern w:val="2"/>
          <w:sz w:val="32"/>
          <w:szCs w:val="32"/>
        </w:rPr>
      </w:pPr>
      <w:r>
        <w:rPr>
          <w:rFonts w:hint="eastAsia" w:ascii="黑体" w:hAnsi="黑体" w:eastAsia="黑体" w:cs="黑体"/>
          <w:kern w:val="2"/>
          <w:sz w:val="32"/>
          <w:szCs w:val="32"/>
        </w:rPr>
        <w:t>二、结果评定10-30%</w:t>
      </w:r>
      <w:bookmarkStart w:id="1" w:name="_GoBack"/>
      <w:bookmarkEnd w:id="1"/>
    </w:p>
    <w:tbl>
      <w:tblPr>
        <w:tblStyle w:val="11"/>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26"/>
        <w:gridCol w:w="2927"/>
        <w:gridCol w:w="3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9" w:hRule="atLeast"/>
        </w:trPr>
        <w:tc>
          <w:tcPr>
            <w:tcW w:w="5853" w:type="dxa"/>
            <w:gridSpan w:val="2"/>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黑体" w:hAnsi="黑体" w:eastAsia="黑体" w:cs="黑体"/>
                <w:kern w:val="2"/>
                <w:sz w:val="28"/>
                <w:szCs w:val="28"/>
              </w:rPr>
            </w:pPr>
            <w:r>
              <w:rPr>
                <w:rFonts w:hint="eastAsia" w:ascii="黑体" w:hAnsi="黑体" w:eastAsia="黑体" w:cs="黑体"/>
                <w:kern w:val="2"/>
                <w:sz w:val="28"/>
                <w:szCs w:val="28"/>
              </w:rPr>
              <w:t>项目</w:t>
            </w:r>
          </w:p>
        </w:tc>
        <w:tc>
          <w:tcPr>
            <w:tcW w:w="3261" w:type="dxa"/>
            <w:vMerge w:val="restart"/>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黑体" w:hAnsi="黑体" w:eastAsia="黑体" w:cs="黑体"/>
                <w:kern w:val="2"/>
                <w:sz w:val="28"/>
                <w:szCs w:val="28"/>
              </w:rPr>
            </w:pPr>
            <w:r>
              <w:rPr>
                <w:rFonts w:hint="eastAsia" w:ascii="黑体" w:hAnsi="黑体" w:eastAsia="黑体" w:cs="黑体"/>
                <w:kern w:val="2"/>
                <w:sz w:val="28"/>
                <w:szCs w:val="28"/>
              </w:rPr>
              <w:t>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926"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黑体" w:hAnsi="黑体" w:eastAsia="黑体" w:cs="黑体"/>
                <w:kern w:val="2"/>
                <w:sz w:val="28"/>
                <w:szCs w:val="28"/>
              </w:rPr>
            </w:pPr>
            <w:r>
              <w:rPr>
                <w:rFonts w:hint="eastAsia" w:ascii="黑体" w:hAnsi="黑体" w:eastAsia="黑体" w:cs="黑体"/>
                <w:kern w:val="2"/>
                <w:sz w:val="28"/>
                <w:szCs w:val="28"/>
              </w:rPr>
              <w:t>严重缺陷项数</w:t>
            </w:r>
          </w:p>
        </w:tc>
        <w:tc>
          <w:tcPr>
            <w:tcW w:w="2927"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黑体" w:hAnsi="黑体" w:eastAsia="黑体" w:cs="黑体"/>
                <w:kern w:val="2"/>
                <w:sz w:val="28"/>
                <w:szCs w:val="28"/>
              </w:rPr>
            </w:pPr>
            <w:r>
              <w:rPr>
                <w:rFonts w:hint="eastAsia" w:ascii="黑体" w:hAnsi="黑体" w:eastAsia="黑体" w:cs="黑体"/>
                <w:kern w:val="2"/>
                <w:sz w:val="28"/>
                <w:szCs w:val="28"/>
              </w:rPr>
              <w:t>一般缺陷率</w:t>
            </w:r>
          </w:p>
        </w:tc>
        <w:tc>
          <w:tcPr>
            <w:tcW w:w="3261" w:type="dxa"/>
            <w:vMerge w:val="continue"/>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both"/>
              <w:textAlignment w:val="auto"/>
              <w:outlineLvl w:val="9"/>
              <w:rPr>
                <w:rFonts w:hint="eastAsia" w:ascii="仿宋_GB2312" w:hAnsi="仿宋_GB2312" w:eastAsia="仿宋_GB2312" w:cs="仿宋_GB2312"/>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926"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0</w:t>
            </w:r>
          </w:p>
        </w:tc>
        <w:tc>
          <w:tcPr>
            <w:tcW w:w="2927"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≤10%</w:t>
            </w:r>
          </w:p>
        </w:tc>
        <w:tc>
          <w:tcPr>
            <w:tcW w:w="3261"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通过资质评定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926"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0</w:t>
            </w:r>
          </w:p>
        </w:tc>
        <w:tc>
          <w:tcPr>
            <w:tcW w:w="2927"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10-30%</w:t>
            </w:r>
          </w:p>
        </w:tc>
        <w:tc>
          <w:tcPr>
            <w:tcW w:w="3261" w:type="dxa"/>
            <w:vMerge w:val="restart"/>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限期整改后重新评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926"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&lt;2</w:t>
            </w:r>
          </w:p>
        </w:tc>
        <w:tc>
          <w:tcPr>
            <w:tcW w:w="2927"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≤10%</w:t>
            </w:r>
          </w:p>
        </w:tc>
        <w:tc>
          <w:tcPr>
            <w:tcW w:w="3261" w:type="dxa"/>
            <w:vMerge w:val="continue"/>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926"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≤2</w:t>
            </w:r>
          </w:p>
        </w:tc>
        <w:tc>
          <w:tcPr>
            <w:tcW w:w="2927"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&gt;10%</w:t>
            </w:r>
          </w:p>
        </w:tc>
        <w:tc>
          <w:tcPr>
            <w:tcW w:w="3261" w:type="dxa"/>
            <w:vMerge w:val="restart"/>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6个月整改后重新申请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926"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&gt;2</w:t>
            </w:r>
          </w:p>
        </w:tc>
        <w:tc>
          <w:tcPr>
            <w:tcW w:w="2927"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p>
        </w:tc>
        <w:tc>
          <w:tcPr>
            <w:tcW w:w="3261" w:type="dxa"/>
            <w:vMerge w:val="continue"/>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both"/>
              <w:textAlignment w:val="auto"/>
              <w:outlineLvl w:val="9"/>
              <w:rPr>
                <w:rFonts w:hint="eastAsia" w:ascii="仿宋_GB2312" w:hAnsi="仿宋_GB2312" w:eastAsia="仿宋_GB2312" w:cs="仿宋_GB2312"/>
                <w:kern w:val="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2926"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{检查细则}0</w:t>
            </w:r>
          </w:p>
        </w:tc>
        <w:tc>
          <w:tcPr>
            <w:tcW w:w="2927" w:type="dxa"/>
            <w:vAlign w:val="center"/>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center"/>
              <w:textAlignment w:val="auto"/>
              <w:outlineLvl w:val="9"/>
              <w:rPr>
                <w:rFonts w:hint="eastAsia" w:ascii="仿宋_GB2312" w:hAnsi="仿宋_GB2312" w:eastAsia="仿宋_GB2312" w:cs="仿宋_GB2312"/>
                <w:kern w:val="2"/>
                <w:sz w:val="28"/>
                <w:szCs w:val="28"/>
              </w:rPr>
            </w:pPr>
            <w:r>
              <w:rPr>
                <w:rFonts w:hint="eastAsia" w:ascii="仿宋_GB2312" w:hAnsi="仿宋_GB2312" w:eastAsia="仿宋_GB2312" w:cs="仿宋_GB2312"/>
                <w:kern w:val="2"/>
                <w:sz w:val="28"/>
                <w:szCs w:val="28"/>
              </w:rPr>
              <w:t>≥30%</w:t>
            </w:r>
          </w:p>
        </w:tc>
        <w:tc>
          <w:tcPr>
            <w:tcW w:w="3261" w:type="dxa"/>
            <w:vMerge w:val="continue"/>
          </w:tcPr>
          <w:p>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480"/>
              <w:jc w:val="both"/>
              <w:textAlignment w:val="auto"/>
              <w:outlineLvl w:val="9"/>
              <w:rPr>
                <w:rFonts w:hint="eastAsia" w:ascii="仿宋_GB2312" w:hAnsi="仿宋_GB2312" w:eastAsia="仿宋_GB2312" w:cs="仿宋_GB2312"/>
                <w:kern w:val="2"/>
                <w:sz w:val="28"/>
                <w:szCs w:val="28"/>
              </w:rPr>
            </w:pPr>
          </w:p>
        </w:tc>
      </w:tr>
    </w:tbl>
    <w:p>
      <w:pPr>
        <w:pStyle w:val="9"/>
        <w:keepNext w:val="0"/>
        <w:keepLines w:val="0"/>
        <w:pageBreakBefore w:val="0"/>
        <w:kinsoku/>
        <w:wordWrap/>
        <w:overflowPunct/>
        <w:topLinePunct w:val="0"/>
        <w:autoSpaceDE/>
        <w:autoSpaceDN/>
        <w:bidi w:val="0"/>
        <w:spacing w:before="0" w:beforeAutospacing="0" w:after="0" w:afterAutospacing="0" w:line="560" w:lineRule="exact"/>
        <w:ind w:firstLine="480"/>
        <w:jc w:val="both"/>
        <w:textAlignment w:val="auto"/>
        <w:rPr>
          <w:rFonts w:hint="eastAsia" w:ascii="仿宋_GB2312" w:hAnsi="仿宋_GB2312" w:eastAsia="仿宋_GB2312" w:cs="仿宋_GB2312"/>
          <w:kern w:val="2"/>
          <w:sz w:val="32"/>
          <w:szCs w:val="32"/>
        </w:rPr>
      </w:pPr>
    </w:p>
    <w:p>
      <w:pPr>
        <w:pStyle w:val="9"/>
        <w:keepNext w:val="0"/>
        <w:keepLines w:val="0"/>
        <w:pageBreakBefore w:val="0"/>
        <w:kinsoku/>
        <w:wordWrap/>
        <w:overflowPunct/>
        <w:topLinePunct w:val="0"/>
        <w:autoSpaceDE/>
        <w:autoSpaceDN/>
        <w:bidi w:val="0"/>
        <w:spacing w:before="0" w:beforeAutospacing="0" w:after="0" w:afterAutospacing="0" w:line="560" w:lineRule="exact"/>
        <w:ind w:firstLine="480"/>
        <w:jc w:val="both"/>
        <w:textAlignment w:val="auto"/>
        <w:rPr>
          <w:rFonts w:hint="eastAsia" w:ascii="黑体" w:hAnsi="黑体" w:eastAsia="黑体" w:cs="黑体"/>
          <w:kern w:val="2"/>
          <w:sz w:val="32"/>
          <w:szCs w:val="32"/>
          <w:lang w:eastAsia="zh-CN"/>
        </w:rPr>
      </w:pPr>
      <w:r>
        <w:rPr>
          <w:rFonts w:hint="eastAsia" w:ascii="黑体" w:hAnsi="黑体" w:eastAsia="黑体" w:cs="黑体"/>
          <w:kern w:val="2"/>
          <w:sz w:val="32"/>
          <w:szCs w:val="32"/>
        </w:rPr>
        <w:t>三、本办法由自治区中医药局负责解释</w:t>
      </w:r>
    </w:p>
    <w:p>
      <w:pPr>
        <w:keepNext w:val="0"/>
        <w:keepLines w:val="0"/>
        <w:pageBreakBefore w:val="0"/>
        <w:kinsoku/>
        <w:wordWrap/>
        <w:overflowPunct/>
        <w:topLinePunct w:val="0"/>
        <w:autoSpaceDE/>
        <w:autoSpaceDN/>
        <w:bidi w:val="0"/>
        <w:spacing w:line="560" w:lineRule="exact"/>
        <w:textAlignment w:val="auto"/>
        <w:rPr>
          <w:rFonts w:hint="eastAsia" w:ascii="黑体" w:hAnsi="黑体" w:eastAsia="黑体" w:cs="黑体"/>
          <w:sz w:val="32"/>
          <w:szCs w:val="32"/>
        </w:rPr>
      </w:pPr>
    </w:p>
    <w:p>
      <w:pPr>
        <w:keepNext w:val="0"/>
        <w:keepLines w:val="0"/>
        <w:pageBreakBefore w:val="0"/>
        <w:kinsoku/>
        <w:wordWrap/>
        <w:overflowPunct/>
        <w:topLinePunct w:val="0"/>
        <w:autoSpaceDE/>
        <w:autoSpaceDN/>
        <w:bidi w:val="0"/>
        <w:spacing w:line="560" w:lineRule="exact"/>
        <w:textAlignment w:val="auto"/>
      </w:pPr>
    </w:p>
    <w:sectPr>
      <w:pgSz w:w="11911" w:h="16838"/>
      <w:pgMar w:top="1701" w:right="1417" w:bottom="1417" w:left="1701" w:header="850" w:footer="992" w:gutter="0"/>
      <w:pgNumType w:fmt="decimal"/>
      <w:cols w:space="0" w:num="1"/>
      <w:rtlGutter w:val="0"/>
      <w:docGrid w:linePitch="360"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apple" w:date="2021-04-19T15:37:00Z" w:initials="">
    <w:p w14:paraId="62BA4A0F">
      <w:pPr>
        <w:pStyle w:val="4"/>
      </w:pPr>
      <w:r>
        <w:t>参照上海的</w:t>
      </w:r>
      <w:r>
        <w:rPr>
          <w:rFonts w:hint="eastAsia"/>
        </w:rPr>
        <w:t>27条</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62BA4A0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仿宋_GBK">
    <w:altName w:val="微软雅黑"/>
    <w:panose1 w:val="03000509000000000000"/>
    <w:charset w:val="86"/>
    <w:family w:val="script"/>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roma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both"/>
      <w:rPr>
        <w:sz w:val="2"/>
      </w:rPr>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25095" cy="264795"/>
              <wp:effectExtent l="0" t="0" r="6985" b="14605"/>
              <wp:wrapNone/>
              <wp:docPr id="108" name="文本框 108"/>
              <wp:cNvGraphicFramePr/>
              <a:graphic xmlns:a="http://schemas.openxmlformats.org/drawingml/2006/main">
                <a:graphicData uri="http://schemas.microsoft.com/office/word/2010/wordprocessingShape">
                  <wps:wsp>
                    <wps:cNvSpPr txBox="1"/>
                    <wps:spPr>
                      <a:xfrm>
                        <a:off x="0" y="0"/>
                        <a:ext cx="125095" cy="2647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lang w:eastAsia="zh-CN"/>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20.85pt;width:9.85pt;mso-position-horizontal:outside;mso-position-horizontal-relative:margin;mso-wrap-style:none;z-index:251660288;mso-width-relative:page;mso-height-relative:page;" filled="f" stroked="f" coordsize="21600,21600" o:gfxdata="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Qtdb0gAAAAMBAAAPAAAAAAAAAAEAIAAAACIAAABkcnMvZG93bnJldi54bWxQSwECFAAU&#10;AAAACACHTuJABExFETACAABXBAAADgAAAAAAAAABACAAAAAhAQAAZHJzL2Uyb0RvYy54bWxQSwUG&#10;AAAAAAYABgBZAQAAwwUAAAAA&#10;">
              <v:fill on="f" focussize="0,0"/>
              <v:stroke on="f" weight="0.5pt"/>
              <v:imagedata o:title=""/>
              <o:lock v:ext="edit" aspectratio="f"/>
              <v:textbox inset="0mm,0mm,0mm,0mm" style="mso-fit-shape-to-text:t;">
                <w:txbxContent>
                  <w:p>
                    <w:pPr>
                      <w:pStyle w:val="7"/>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25095" cy="264795"/>
              <wp:effectExtent l="0" t="0" r="1905" b="14605"/>
              <wp:wrapNone/>
              <wp:docPr id="111" name="文本框 111"/>
              <wp:cNvGraphicFramePr/>
              <a:graphic xmlns:a="http://schemas.openxmlformats.org/drawingml/2006/main">
                <a:graphicData uri="http://schemas.microsoft.com/office/word/2010/wordprocessingShape">
                  <wps:wsp>
                    <wps:cNvSpPr txBox="1"/>
                    <wps:spPr>
                      <a:xfrm>
                        <a:off x="0" y="0"/>
                        <a:ext cx="125095" cy="2647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eastAsia="zh-CN"/>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20.85pt;width:9.85pt;mso-position-horizontal:outside;mso-position-horizontal-relative:margin;mso-wrap-style:none;z-index:251661312;mso-width-relative:page;mso-height-relative:page;" filled="f" stroked="f" coordsize="21600,21600" o:gfxdata="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Qtdb0gAAAAMBAAAPAAAAAAAAAAEAIAAAACIAAABkcnMvZG93bnJldi54bWxQSwECFAAU&#10;AAAACACHTuJAMWhffjACAABXBAAADgAAAAAAAAABACAAAAAhAQAAZHJzL2Uyb0RvYy54bWxQSwUG&#10;AAAAAAYABgBZAQAAwwUAAAAA&#10;">
              <v:fill on="f" focussize="0,0"/>
              <v:stroke on="f" weight="0.5pt"/>
              <v:imagedata o:title=""/>
              <o:lock v:ext="edit" aspectratio="f"/>
              <v:textbox inset="0mm,0mm,0mm,0mm" style="mso-fit-shape-to-text:t;">
                <w:txbxContent>
                  <w:p>
                    <w:pPr>
                      <w:pStyle w:val="7"/>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eastAsia="zh-CN"/>
                      </w:rPr>
                      <w:t>—</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w:rPr>
        <w:sz w:val="29"/>
      </w:rPr>
      <mc:AlternateContent>
        <mc:Choice Requires="wps">
          <w:drawing>
            <wp:anchor distT="0" distB="0" distL="114300" distR="114300" simplePos="0" relativeHeight="251659264" behindDoc="1" locked="0" layoutInCell="1" allowOverlap="1">
              <wp:simplePos x="0" y="0"/>
              <wp:positionH relativeFrom="page">
                <wp:posOffset>708025</wp:posOffset>
              </wp:positionH>
              <wp:positionV relativeFrom="page">
                <wp:posOffset>6817995</wp:posOffset>
              </wp:positionV>
              <wp:extent cx="773430" cy="229870"/>
              <wp:effectExtent l="0" t="0" r="7620" b="17780"/>
              <wp:wrapNone/>
              <wp:docPr id="91" name="文本框 87"/>
              <wp:cNvGraphicFramePr/>
              <a:graphic xmlns:a="http://schemas.openxmlformats.org/drawingml/2006/main">
                <a:graphicData uri="http://schemas.microsoft.com/office/word/2010/wordprocessingShape">
                  <wps:wsp>
                    <wps:cNvSpPr txBox="1"/>
                    <wps:spPr>
                      <a:xfrm>
                        <a:off x="0" y="0"/>
                        <a:ext cx="773430" cy="229870"/>
                      </a:xfrm>
                      <a:prstGeom prst="rect">
                        <a:avLst/>
                      </a:prstGeom>
                      <a:noFill/>
                      <a:ln>
                        <a:noFill/>
                      </a:ln>
                      <a:effectLst/>
                    </wps:spPr>
                    <wps:txbx>
                      <w:txbxContent>
                        <w:p>
                          <w:pPr>
                            <w:spacing w:line="340" w:lineRule="exact"/>
                            <w:ind w:left="20"/>
                            <w:rPr>
                              <w:sz w:val="28"/>
                            </w:rPr>
                          </w:pPr>
                          <w:r>
                            <w:rPr>
                              <w:sz w:val="28"/>
                            </w:rPr>
                            <w:t xml:space="preserve">— </w:t>
                          </w:r>
                          <w:r>
                            <w:fldChar w:fldCharType="begin"/>
                          </w:r>
                          <w:r>
                            <w:rPr>
                              <w:sz w:val="28"/>
                            </w:rPr>
                            <w:instrText xml:space="preserve"> PAGE </w:instrText>
                          </w:r>
                          <w:r>
                            <w:fldChar w:fldCharType="separate"/>
                          </w:r>
                          <w:r>
                            <w:rPr>
                              <w:sz w:val="28"/>
                            </w:rPr>
                            <w:t>18</w:t>
                          </w:r>
                          <w:r>
                            <w:fldChar w:fldCharType="end"/>
                          </w:r>
                          <w:r>
                            <w:rPr>
                              <w:sz w:val="28"/>
                            </w:rPr>
                            <w:t xml:space="preserve"> —</w:t>
                          </w:r>
                        </w:p>
                      </w:txbxContent>
                    </wps:txbx>
                    <wps:bodyPr lIns="0" tIns="0" rIns="0" bIns="0" upright="1"/>
                  </wps:wsp>
                </a:graphicData>
              </a:graphic>
            </wp:anchor>
          </w:drawing>
        </mc:Choice>
        <mc:Fallback>
          <w:pict>
            <v:shape id="文本框 87" o:spid="_x0000_s1026" o:spt="202" type="#_x0000_t202" style="position:absolute;left:0pt;margin-left:55.75pt;margin-top:536.85pt;height:18.1pt;width:60.9pt;mso-position-horizontal-relative:page;mso-position-vertical-relative:page;z-index:-251657216;mso-width-relative:page;mso-height-relative:page;" filled="f" stroked="f" coordsize="21600,21600" o:gfxdata="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PsbudHaAAAADQEAAA8AAAAAAAAAAQAgAAAAIgAAAGRycy9kb3ducmV2&#10;LnhtbFBLAQIUABQAAAAIAIdO4kDO3L26wQEAAIEDAAAOAAAAAAAAAAEAIAAAACkBAABkcnMvZTJv&#10;RG9jLnhtbFBLBQYAAAAABgAGAFkBAABcBQAAAAA=&#10;">
              <v:fill on="f" focussize="0,0"/>
              <v:stroke on="f"/>
              <v:imagedata o:title=""/>
              <o:lock v:ext="edit" aspectratio="f"/>
              <v:textbox inset="0mm,0mm,0mm,0mm">
                <w:txbxContent>
                  <w:p>
                    <w:pPr>
                      <w:spacing w:line="340" w:lineRule="exact"/>
                      <w:ind w:left="20"/>
                      <w:rPr>
                        <w:sz w:val="28"/>
                      </w:rPr>
                    </w:pPr>
                    <w:r>
                      <w:rPr>
                        <w:sz w:val="28"/>
                      </w:rPr>
                      <w:t xml:space="preserve">— </w:t>
                    </w:r>
                    <w:r>
                      <w:fldChar w:fldCharType="begin"/>
                    </w:r>
                    <w:r>
                      <w:rPr>
                        <w:sz w:val="28"/>
                      </w:rPr>
                      <w:instrText xml:space="preserve"> PAGE </w:instrText>
                    </w:r>
                    <w:r>
                      <w:fldChar w:fldCharType="separate"/>
                    </w:r>
                    <w:r>
                      <w:rPr>
                        <w:sz w:val="28"/>
                      </w:rPr>
                      <w:t>18</w:t>
                    </w:r>
                    <w:r>
                      <w:fldChar w:fldCharType="end"/>
                    </w:r>
                    <w:r>
                      <w:rPr>
                        <w:sz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
      </w:rPr>
    </w:pPr>
    <w:r>
      <w:rPr>
        <w:sz w:val="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25095" cy="264795"/>
              <wp:effectExtent l="0" t="0" r="1905" b="14605"/>
              <wp:wrapNone/>
              <wp:docPr id="112" name="文本框 112"/>
              <wp:cNvGraphicFramePr/>
              <a:graphic xmlns:a="http://schemas.openxmlformats.org/drawingml/2006/main">
                <a:graphicData uri="http://schemas.microsoft.com/office/word/2010/wordprocessingShape">
                  <wps:wsp>
                    <wps:cNvSpPr txBox="1"/>
                    <wps:spPr>
                      <a:xfrm>
                        <a:off x="0" y="0"/>
                        <a:ext cx="125095" cy="2647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25</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eastAsia="zh-CN"/>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20.85pt;width:9.85pt;mso-position-horizontal:outside;mso-position-horizontal-relative:margin;mso-wrap-style:none;z-index:251662336;mso-width-relative:page;mso-height-relative:page;" filled="f" stroked="f" coordsize="21600,21600" o:gfxdata="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Qtdb0gAAAAMBAAAPAAAAAAAAAAEAIAAAACIAAABkcnMvZG93bnJldi54bWxQSwECFAAU&#10;AAAACACHTuJAhfMdvzACAABXBAAADgAAAAAAAAABACAAAAAhAQAAZHJzL2Uyb0RvYy54bWxQSwUG&#10;AAAAAAYABgBZAQAAwwUAAAAA&#10;">
              <v:fill on="f" focussize="0,0"/>
              <v:stroke on="f" weight="0.5pt"/>
              <v:imagedata o:title=""/>
              <o:lock v:ext="edit" aspectratio="f"/>
              <v:textbox inset="0mm,0mm,0mm,0mm" style="mso-fit-shape-to-text:t;">
                <w:txbxContent>
                  <w:p>
                    <w:pPr>
                      <w:pStyle w:val="7"/>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25</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eastAsia="zh-CN"/>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jc w:val="both"/>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pple">
    <w15:presenceInfo w15:providerId="None" w15:userId="appl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trackRevisions w:val="1"/>
  <w:documentProtection w:enforcement="0"/>
  <w:defaultTabStop w:val="720"/>
  <w:drawingGridHorizontalSpacing w:val="11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50"/>
    <w:rsid w:val="000332DA"/>
    <w:rsid w:val="00037B7C"/>
    <w:rsid w:val="002838FF"/>
    <w:rsid w:val="00291451"/>
    <w:rsid w:val="002B1160"/>
    <w:rsid w:val="002F6046"/>
    <w:rsid w:val="00323B43"/>
    <w:rsid w:val="0037070E"/>
    <w:rsid w:val="003D37D8"/>
    <w:rsid w:val="00426133"/>
    <w:rsid w:val="004358AB"/>
    <w:rsid w:val="004A1490"/>
    <w:rsid w:val="00763369"/>
    <w:rsid w:val="007A43F0"/>
    <w:rsid w:val="008B7726"/>
    <w:rsid w:val="008C69F2"/>
    <w:rsid w:val="00C05878"/>
    <w:rsid w:val="00C05ED6"/>
    <w:rsid w:val="00D31D50"/>
    <w:rsid w:val="00D83810"/>
    <w:rsid w:val="00DC76DA"/>
    <w:rsid w:val="00E07777"/>
    <w:rsid w:val="00EB6683"/>
    <w:rsid w:val="00ED7A04"/>
    <w:rsid w:val="00F70E36"/>
    <w:rsid w:val="00FA5960"/>
    <w:rsid w:val="06E03F75"/>
    <w:rsid w:val="07DD6692"/>
    <w:rsid w:val="0C00456A"/>
    <w:rsid w:val="2029037B"/>
    <w:rsid w:val="2318447F"/>
    <w:rsid w:val="250B0700"/>
    <w:rsid w:val="272A50F2"/>
    <w:rsid w:val="2764499C"/>
    <w:rsid w:val="35F379DA"/>
    <w:rsid w:val="37F674A1"/>
    <w:rsid w:val="38843949"/>
    <w:rsid w:val="3A3A1E54"/>
    <w:rsid w:val="47A10521"/>
    <w:rsid w:val="4BD27F79"/>
    <w:rsid w:val="4D1C475E"/>
    <w:rsid w:val="54A30857"/>
    <w:rsid w:val="56505397"/>
    <w:rsid w:val="579375EA"/>
    <w:rsid w:val="5AA23438"/>
    <w:rsid w:val="608F2A8C"/>
    <w:rsid w:val="62314580"/>
    <w:rsid w:val="632E4A75"/>
    <w:rsid w:val="64AA3FFD"/>
    <w:rsid w:val="66DD3D29"/>
    <w:rsid w:val="670E3140"/>
    <w:rsid w:val="6A6147CB"/>
    <w:rsid w:val="6BA74CD4"/>
    <w:rsid w:val="712F4CBE"/>
    <w:rsid w:val="738E4C02"/>
    <w:rsid w:val="73F909A7"/>
    <w:rsid w:val="79423C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方正仿宋_GBK" w:hAnsi="Times New Roman" w:eastAsia="方正仿宋_GBK" w:cs="Times New Roman"/>
      <w:color w:val="000000"/>
      <w:sz w:val="24"/>
      <w:lang w:val="en-US" w:eastAsia="zh-CN" w:bidi="ar-SA"/>
    </w:rPr>
  </w:style>
  <w:style w:type="paragraph" w:styleId="3">
    <w:name w:val="Normal Indent"/>
    <w:basedOn w:val="1"/>
    <w:next w:val="1"/>
    <w:qFormat/>
    <w:uiPriority w:val="0"/>
    <w:pPr>
      <w:widowControl w:val="0"/>
      <w:adjustRightInd/>
      <w:snapToGrid/>
      <w:spacing w:after="0"/>
      <w:ind w:firstLine="200" w:firstLineChars="200"/>
      <w:jc w:val="both"/>
    </w:pPr>
    <w:rPr>
      <w:rFonts w:asciiTheme="minorHAnsi" w:hAnsiTheme="minorHAnsi" w:eastAsiaTheme="minorEastAsia"/>
      <w:kern w:val="2"/>
      <w:sz w:val="21"/>
      <w:szCs w:val="24"/>
    </w:rPr>
  </w:style>
  <w:style w:type="paragraph" w:styleId="4">
    <w:name w:val="annotation text"/>
    <w:basedOn w:val="1"/>
    <w:qFormat/>
    <w:uiPriority w:val="0"/>
    <w:pPr>
      <w:jc w:val="left"/>
    </w:pPr>
  </w:style>
  <w:style w:type="paragraph" w:styleId="5">
    <w:name w:val="Body Text"/>
    <w:basedOn w:val="1"/>
    <w:link w:val="16"/>
    <w:qFormat/>
    <w:uiPriority w:val="1"/>
    <w:pPr>
      <w:widowControl w:val="0"/>
      <w:adjustRightInd/>
      <w:snapToGrid/>
      <w:spacing w:after="140" w:line="288" w:lineRule="auto"/>
      <w:jc w:val="both"/>
    </w:pPr>
    <w:rPr>
      <w:rFonts w:asciiTheme="minorHAnsi" w:hAnsiTheme="minorHAnsi" w:eastAsiaTheme="minorEastAsia"/>
      <w:kern w:val="2"/>
      <w:sz w:val="21"/>
      <w:szCs w:val="24"/>
    </w:rPr>
  </w:style>
  <w:style w:type="paragraph" w:styleId="6">
    <w:name w:val="Balloon Text"/>
    <w:basedOn w:val="1"/>
    <w:link w:val="22"/>
    <w:qFormat/>
    <w:uiPriority w:val="0"/>
    <w:pPr>
      <w:widowControl w:val="0"/>
      <w:autoSpaceDE w:val="0"/>
      <w:autoSpaceDN w:val="0"/>
      <w:adjustRightInd/>
      <w:snapToGrid/>
      <w:spacing w:after="0"/>
    </w:pPr>
    <w:rPr>
      <w:rFonts w:ascii="宋体" w:hAnsi="宋体" w:eastAsia="宋体" w:cs="宋体"/>
      <w:sz w:val="18"/>
      <w:szCs w:val="18"/>
    </w:rPr>
  </w:style>
  <w:style w:type="paragraph" w:styleId="7">
    <w:name w:val="footer"/>
    <w:basedOn w:val="1"/>
    <w:link w:val="15"/>
    <w:unhideWhenUsed/>
    <w:qFormat/>
    <w:uiPriority w:val="99"/>
    <w:pPr>
      <w:tabs>
        <w:tab w:val="center" w:pos="4153"/>
        <w:tab w:val="right" w:pos="8306"/>
      </w:tabs>
    </w:pPr>
    <w:rPr>
      <w:sz w:val="18"/>
      <w:szCs w:val="18"/>
    </w:rPr>
  </w:style>
  <w:style w:type="paragraph" w:styleId="8">
    <w:name w:val="header"/>
    <w:basedOn w:val="1"/>
    <w:link w:val="14"/>
    <w:unhideWhenUsed/>
    <w:qFormat/>
    <w:uiPriority w:val="0"/>
    <w:pPr>
      <w:pBdr>
        <w:bottom w:val="single" w:color="auto" w:sz="6" w:space="1"/>
      </w:pBdr>
      <w:tabs>
        <w:tab w:val="center" w:pos="4153"/>
        <w:tab w:val="right" w:pos="8306"/>
      </w:tabs>
      <w:jc w:val="center"/>
    </w:pPr>
    <w:rPr>
      <w:sz w:val="18"/>
      <w:szCs w:val="18"/>
    </w:rPr>
  </w:style>
  <w:style w:type="paragraph" w:styleId="9">
    <w:name w:val="Normal (Web)"/>
    <w:basedOn w:val="1"/>
    <w:qFormat/>
    <w:uiPriority w:val="99"/>
    <w:pPr>
      <w:adjustRightInd/>
      <w:snapToGrid/>
      <w:spacing w:before="100" w:beforeAutospacing="1" w:after="100" w:afterAutospacing="1"/>
    </w:pPr>
    <w:rPr>
      <w:rFonts w:ascii="宋体" w:hAnsi="宋体" w:eastAsia="宋体" w:cs="宋体"/>
      <w:sz w:val="24"/>
      <w:szCs w:val="24"/>
    </w:rPr>
  </w:style>
  <w:style w:type="table" w:styleId="11">
    <w:name w:val="Table Grid"/>
    <w:basedOn w:val="10"/>
    <w:qFormat/>
    <w:uiPriority w:val="39"/>
    <w:pPr>
      <w:widowControl w:val="0"/>
      <w:spacing w:after="0" w:line="240" w:lineRule="auto"/>
      <w:jc w:val="both"/>
    </w:pPr>
    <w:rPr>
      <w:rFonts w:eastAsiaTheme="minorEastAsia"/>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annotation reference"/>
    <w:basedOn w:val="12"/>
    <w:qFormat/>
    <w:uiPriority w:val="0"/>
    <w:rPr>
      <w:sz w:val="21"/>
      <w:szCs w:val="21"/>
    </w:rPr>
  </w:style>
  <w:style w:type="character" w:customStyle="1" w:styleId="14">
    <w:name w:val="页眉 Char"/>
    <w:basedOn w:val="12"/>
    <w:link w:val="8"/>
    <w:qFormat/>
    <w:uiPriority w:val="0"/>
    <w:rPr>
      <w:rFonts w:ascii="Tahoma" w:hAnsi="Tahoma"/>
      <w:sz w:val="18"/>
      <w:szCs w:val="18"/>
    </w:rPr>
  </w:style>
  <w:style w:type="character" w:customStyle="1" w:styleId="15">
    <w:name w:val="页脚 Char"/>
    <w:basedOn w:val="12"/>
    <w:link w:val="7"/>
    <w:qFormat/>
    <w:uiPriority w:val="99"/>
    <w:rPr>
      <w:rFonts w:ascii="Tahoma" w:hAnsi="Tahoma"/>
      <w:sz w:val="18"/>
      <w:szCs w:val="18"/>
    </w:rPr>
  </w:style>
  <w:style w:type="character" w:customStyle="1" w:styleId="16">
    <w:name w:val="正文文本 Char"/>
    <w:basedOn w:val="12"/>
    <w:link w:val="5"/>
    <w:qFormat/>
    <w:uiPriority w:val="1"/>
    <w:rPr>
      <w:rFonts w:eastAsiaTheme="minorEastAsia"/>
      <w:kern w:val="2"/>
      <w:sz w:val="21"/>
      <w:szCs w:val="24"/>
    </w:rPr>
  </w:style>
  <w:style w:type="character" w:customStyle="1" w:styleId="17">
    <w:name w:val="apple-converted-space"/>
    <w:basedOn w:val="12"/>
    <w:qFormat/>
    <w:uiPriority w:val="0"/>
  </w:style>
  <w:style w:type="paragraph" w:styleId="18">
    <w:name w:val="List Paragraph"/>
    <w:basedOn w:val="1"/>
    <w:qFormat/>
    <w:uiPriority w:val="1"/>
    <w:pPr>
      <w:widowControl w:val="0"/>
      <w:autoSpaceDE w:val="0"/>
      <w:autoSpaceDN w:val="0"/>
      <w:adjustRightInd/>
      <w:snapToGrid/>
      <w:spacing w:before="152" w:after="0"/>
      <w:ind w:left="2143" w:hanging="480"/>
    </w:pPr>
    <w:rPr>
      <w:rFonts w:ascii="宋体" w:hAnsi="宋体" w:eastAsia="宋体" w:cs="宋体"/>
    </w:rPr>
  </w:style>
  <w:style w:type="paragraph" w:customStyle="1" w:styleId="19">
    <w:name w:val="标题 11"/>
    <w:basedOn w:val="1"/>
    <w:qFormat/>
    <w:uiPriority w:val="1"/>
    <w:pPr>
      <w:widowControl w:val="0"/>
      <w:autoSpaceDE w:val="0"/>
      <w:autoSpaceDN w:val="0"/>
      <w:adjustRightInd/>
      <w:snapToGrid/>
      <w:spacing w:after="0"/>
      <w:ind w:left="114"/>
      <w:outlineLvl w:val="1"/>
    </w:pPr>
    <w:rPr>
      <w:rFonts w:ascii="宋体" w:hAnsi="宋体" w:eastAsia="宋体" w:cs="宋体"/>
      <w:sz w:val="36"/>
      <w:szCs w:val="36"/>
    </w:rPr>
  </w:style>
  <w:style w:type="paragraph" w:customStyle="1" w:styleId="20">
    <w:name w:val="Table Paragraph"/>
    <w:basedOn w:val="1"/>
    <w:qFormat/>
    <w:uiPriority w:val="1"/>
    <w:pPr>
      <w:widowControl w:val="0"/>
      <w:autoSpaceDE w:val="0"/>
      <w:autoSpaceDN w:val="0"/>
      <w:adjustRightInd/>
      <w:snapToGrid/>
      <w:spacing w:after="0"/>
    </w:pPr>
    <w:rPr>
      <w:rFonts w:ascii="宋体" w:hAnsi="宋体" w:eastAsia="宋体" w:cs="宋体"/>
    </w:rPr>
  </w:style>
  <w:style w:type="table" w:customStyle="1" w:styleId="21">
    <w:name w:val="Table Normal"/>
    <w:semiHidden/>
    <w:unhideWhenUsed/>
    <w:qFormat/>
    <w:uiPriority w:val="2"/>
    <w:pPr>
      <w:spacing w:after="0" w:line="240" w:lineRule="auto"/>
    </w:pPr>
    <w:rPr>
      <w:rFonts w:eastAsiaTheme="minorEastAsia"/>
      <w:sz w:val="20"/>
      <w:szCs w:val="20"/>
    </w:rPr>
    <w:tblPr>
      <w:tblCellMar>
        <w:top w:w="0" w:type="dxa"/>
        <w:left w:w="0" w:type="dxa"/>
        <w:bottom w:w="0" w:type="dxa"/>
        <w:right w:w="0" w:type="dxa"/>
      </w:tblCellMar>
    </w:tblPr>
  </w:style>
  <w:style w:type="character" w:customStyle="1" w:styleId="22">
    <w:name w:val="批注框文本 Char"/>
    <w:basedOn w:val="12"/>
    <w:link w:val="6"/>
    <w:qFormat/>
    <w:uiPriority w:val="0"/>
    <w:rPr>
      <w:rFonts w:ascii="宋体" w:hAnsi="宋体" w:eastAsia="宋体" w:cs="宋体"/>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1.xml"/><Relationship Id="rId6" Type="http://schemas.openxmlformats.org/officeDocument/2006/relationships/endnotes" Target="endnotes.xml"/><Relationship Id="rId5" Type="http://schemas.openxmlformats.org/officeDocument/2006/relationships/footnotes" Target="footnotes.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7" Type="http://schemas.microsoft.com/office/2011/relationships/people" Target="people.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image" Target="media/image2.png"/><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Home</Company>
  <Pages>25</Pages>
  <Words>1888</Words>
  <Characters>10768</Characters>
  <Lines>89</Lines>
  <Paragraphs>25</Paragraphs>
  <TotalTime>12</TotalTime>
  <ScaleCrop>false</ScaleCrop>
  <LinksUpToDate>false</LinksUpToDate>
  <CharactersWithSpaces>12631</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2021-04-22T01:00:00Z</dcterms:created>
  <dc:creator>Administrator</dc:creator>
  <cp:lastModifiedBy>。。。。。。。。</cp:lastModifiedBy>
  <cp:lastPrinted>2021-04-22T09:16:00Z</cp:lastPrinted>
  <dcterms:modified xsi:type="dcterms:W3CDTF">2021-04-23T09:31:54Z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0E2C213E11E648148D7BC565081754BB</vt:lpwstr>
  </property>
</Properties>
</file>