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985FDC">
      <w:pPr>
        <w:spacing w:before="101" w:line="224" w:lineRule="auto"/>
        <w:ind w:left="4"/>
        <w:rPr>
          <w:rFonts w:ascii="黑体" w:hAnsi="黑体" w:eastAsia="黑体" w:cs="黑体"/>
          <w:b w:val="0"/>
          <w:bCs w:val="0"/>
          <w:sz w:val="32"/>
          <w:szCs w:val="32"/>
        </w:rPr>
      </w:pPr>
      <w:r>
        <w:rPr>
          <w:rFonts w:ascii="黑体" w:hAnsi="黑体" w:eastAsia="黑体" w:cs="黑体"/>
          <w:b w:val="0"/>
          <w:bCs w:val="0"/>
          <w:spacing w:val="-1"/>
          <w:sz w:val="32"/>
          <w:szCs w:val="32"/>
        </w:rPr>
        <w:t>附件</w:t>
      </w:r>
    </w:p>
    <w:p w14:paraId="5FABBDB9">
      <w:pPr>
        <w:pStyle w:val="2"/>
        <w:spacing w:line="252" w:lineRule="auto"/>
      </w:pPr>
    </w:p>
    <w:p w14:paraId="7C504925">
      <w:pPr>
        <w:pStyle w:val="2"/>
        <w:spacing w:line="252" w:lineRule="auto"/>
      </w:pPr>
    </w:p>
    <w:p w14:paraId="43CB7306">
      <w:pPr>
        <w:keepNext w:val="0"/>
        <w:keepLines w:val="0"/>
        <w:pageBreakBefore w:val="0"/>
        <w:widowControl/>
        <w:kinsoku w:val="0"/>
        <w:wordWrap/>
        <w:overflowPunct/>
        <w:topLinePunct w:val="0"/>
        <w:autoSpaceDE w:val="0"/>
        <w:autoSpaceDN w:val="0"/>
        <w:bidi w:val="0"/>
        <w:adjustRightInd w:val="0"/>
        <w:snapToGrid w:val="0"/>
        <w:spacing w:line="640" w:lineRule="exact"/>
        <w:ind w:left="0"/>
        <w:jc w:val="center"/>
        <w:textAlignment w:val="baseline"/>
        <w:rPr>
          <w:rFonts w:hint="eastAsia" w:ascii="方正小标宋简体" w:hAnsi="方正小标宋简体" w:eastAsia="方正小标宋简体" w:cs="方正小标宋简体"/>
          <w:b w:val="0"/>
          <w:bCs w:val="0"/>
          <w:spacing w:val="-10"/>
          <w:sz w:val="44"/>
          <w:szCs w:val="44"/>
        </w:rPr>
      </w:pPr>
      <w:bookmarkStart w:id="0" w:name="_GoBack"/>
      <w:r>
        <w:rPr>
          <w:rFonts w:hint="eastAsia" w:ascii="方正小标宋简体" w:hAnsi="方正小标宋简体" w:eastAsia="方正小标宋简体" w:cs="方正小标宋简体"/>
          <w:b w:val="0"/>
          <w:bCs w:val="0"/>
          <w:spacing w:val="-10"/>
          <w:sz w:val="44"/>
          <w:szCs w:val="44"/>
        </w:rPr>
        <w:t>中医药文化交流及宣传专项经费项目</w:t>
      </w:r>
    </w:p>
    <w:p w14:paraId="45E6436A">
      <w:pPr>
        <w:keepNext w:val="0"/>
        <w:keepLines w:val="0"/>
        <w:pageBreakBefore w:val="0"/>
        <w:widowControl/>
        <w:kinsoku w:val="0"/>
        <w:wordWrap/>
        <w:overflowPunct/>
        <w:topLinePunct w:val="0"/>
        <w:autoSpaceDE w:val="0"/>
        <w:autoSpaceDN w:val="0"/>
        <w:bidi w:val="0"/>
        <w:adjustRightInd w:val="0"/>
        <w:snapToGrid w:val="0"/>
        <w:spacing w:line="640" w:lineRule="exact"/>
        <w:ind w:left="0"/>
        <w:jc w:val="center"/>
        <w:textAlignment w:val="baseline"/>
        <w:rPr>
          <w:rFonts w:hint="eastAsia" w:ascii="方正小标宋简体" w:hAnsi="方正小标宋简体" w:eastAsia="方正小标宋简体" w:cs="方正小标宋简体"/>
          <w:b w:val="0"/>
          <w:bCs w:val="0"/>
          <w:spacing w:val="-10"/>
          <w:sz w:val="44"/>
          <w:szCs w:val="44"/>
        </w:rPr>
      </w:pPr>
      <w:r>
        <w:rPr>
          <w:rFonts w:hint="eastAsia" w:ascii="方正小标宋简体" w:hAnsi="方正小标宋简体" w:eastAsia="方正小标宋简体" w:cs="方正小标宋简体"/>
          <w:b w:val="0"/>
          <w:bCs w:val="0"/>
          <w:spacing w:val="-10"/>
          <w:sz w:val="44"/>
          <w:szCs w:val="44"/>
        </w:rPr>
        <w:t>采购信息</w:t>
      </w:r>
    </w:p>
    <w:bookmarkEnd w:id="0"/>
    <w:p w14:paraId="5C562EDD">
      <w:pPr>
        <w:rPr>
          <w:rFonts w:hint="eastAsia"/>
        </w:rPr>
      </w:pPr>
    </w:p>
    <w:p w14:paraId="4EC5FA59">
      <w:pPr>
        <w:rPr>
          <w:rFonts w:hint="eastAsia"/>
        </w:rPr>
      </w:pPr>
    </w:p>
    <w:p w14:paraId="44D07F2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rPr>
      </w:pPr>
      <w:r>
        <w:rPr>
          <w:rFonts w:hint="eastAsia" w:ascii="黑体" w:hAnsi="黑体" w:eastAsia="黑体" w:cs="黑体"/>
          <w:sz w:val="32"/>
          <w:szCs w:val="32"/>
        </w:rPr>
        <w:t>一、项目信息</w:t>
      </w:r>
    </w:p>
    <w:p w14:paraId="685ACAC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采购单位：广西壮族自治区中医药管理局</w:t>
      </w:r>
    </w:p>
    <w:p w14:paraId="1E5286AF">
      <w:pPr>
        <w:keepNext w:val="0"/>
        <w:keepLines w:val="0"/>
        <w:pageBreakBefore w:val="0"/>
        <w:widowControl/>
        <w:kinsoku w:val="0"/>
        <w:wordWrap/>
        <w:overflowPunct/>
        <w:topLinePunct w:val="0"/>
        <w:autoSpaceDE w:val="0"/>
        <w:autoSpaceDN w:val="0"/>
        <w:bidi w:val="0"/>
        <w:adjustRightInd w:val="0"/>
        <w:snapToGrid w:val="0"/>
        <w:spacing w:line="560" w:lineRule="exact"/>
        <w:ind w:left="2238" w:leftChars="304" w:hanging="1600" w:hangingChars="500"/>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项目名称：</w:t>
      </w:r>
      <w:r>
        <w:rPr>
          <w:rFonts w:hint="eastAsia" w:ascii="仿宋_GB2312" w:hAnsi="仿宋_GB2312" w:eastAsia="仿宋_GB2312" w:cs="仿宋_GB2312"/>
          <w:sz w:val="32"/>
          <w:szCs w:val="32"/>
          <w:lang w:eastAsia="zh-CN"/>
        </w:rPr>
        <w:t>中医药文化交流及宣传专项经费</w:t>
      </w:r>
      <w:r>
        <w:rPr>
          <w:rFonts w:hint="eastAsia" w:ascii="仿宋_GB2312" w:hAnsi="仿宋_GB2312" w:eastAsia="仿宋_GB2312" w:cs="仿宋_GB2312"/>
          <w:sz w:val="32"/>
          <w:szCs w:val="32"/>
        </w:rPr>
        <w:t>项目</w:t>
      </w:r>
    </w:p>
    <w:p w14:paraId="251BD1B5">
      <w:pPr>
        <w:keepNext w:val="0"/>
        <w:keepLines w:val="0"/>
        <w:pageBreakBefore w:val="0"/>
        <w:widowControl/>
        <w:kinsoku/>
        <w:wordWrap/>
        <w:overflowPunct/>
        <w:topLinePunct w:val="0"/>
        <w:autoSpaceDE w:val="0"/>
        <w:autoSpaceDN w:val="0"/>
        <w:bidi w:val="0"/>
        <w:adjustRightInd w:val="0"/>
        <w:snapToGrid w:val="0"/>
        <w:spacing w:line="560" w:lineRule="exact"/>
        <w:ind w:firstLine="640" w:firstLineChars="200"/>
        <w:jc w:val="both"/>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拟采购的货物或服务的说明：</w:t>
      </w:r>
      <w:r>
        <w:rPr>
          <w:rFonts w:hint="eastAsia" w:ascii="仿宋_GB2312" w:hAnsi="仿宋_GB2312" w:eastAsia="仿宋_GB2312" w:cs="仿宋_GB2312"/>
          <w:sz w:val="32"/>
          <w:szCs w:val="32"/>
          <w:lang w:eastAsia="zh-CN"/>
        </w:rPr>
        <w:t>（1）广西中医药文化“三进”项目。依托国家及广西中医药文化宣传教育基地开展“中医药文化服务月”活动。主要采取“走出去”和“请进来”相结合，丰富基层中医药文化教育。项目主要用于中医药健康文化素养知识的宣教，组织开展中草药种植、中医药科普教育、“桂十味”及“31味区域特色药材”辨识科普、中药材手工制作、学习体会五禽戏、八段锦、开展健康义诊、发放宣传品等多种形式活动，并用于帮助基层建立“立体中医药馆”、中草药体验园、中医药文化知识角，在亭台、楼阁、廊道内增设中医药文化长廊，名医名家、中医经典章句、中药标识等，推动中医药文化韵味、文化精髓、历史底蕴、优秀理念融入基层百姓生活中。（2）中医药科普文化宣传推广活动项目。项目主要用于举办一场中医药健康文化宣传活动，进一步促进中医药健康文化的宣传推广。</w:t>
      </w:r>
    </w:p>
    <w:p w14:paraId="3424257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拟采购的服务预算金额(元):</w:t>
      </w:r>
      <w:r>
        <w:rPr>
          <w:rFonts w:hint="eastAsia" w:ascii="仿宋_GB2312" w:hAnsi="仿宋_GB2312" w:eastAsia="仿宋_GB2312" w:cs="仿宋_GB2312"/>
          <w:sz w:val="32"/>
          <w:szCs w:val="32"/>
          <w:lang w:val="en-US" w:eastAsia="zh-CN"/>
        </w:rPr>
        <w:t>450000.00</w:t>
      </w:r>
    </w:p>
    <w:p w14:paraId="0CC85AE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用单一来源采购方式的原因及说明：广西药用植物园是广西成立最早、学科齐全、高层次人才较多、综合实力较强、世界最大的药用植物园，保存了8100余种药用植物，构建了全球最完善的药用资源保存保护体系，是全国中医药文化宣传教育基地、全国科普教育基地、国家生态环境科普基地、国家中医药健康旅游示范基地、全国中小学生研学实践教育基地。近年来，广西药用植物园成功开展“中医药文化服务周”“中医药文化服务月”，中医药文化进校园、进机</w:t>
      </w:r>
      <w:r>
        <w:rPr>
          <w:rFonts w:hint="eastAsia" w:ascii="仿宋_GB2312" w:hAnsi="仿宋_GB2312" w:eastAsia="仿宋_GB2312" w:cs="仿宋_GB2312"/>
          <w:sz w:val="32"/>
          <w:szCs w:val="32"/>
          <w:lang w:eastAsia="zh-CN"/>
        </w:rPr>
        <w:t>关</w:t>
      </w:r>
      <w:r>
        <w:rPr>
          <w:rFonts w:hint="eastAsia" w:ascii="仿宋_GB2312" w:hAnsi="仿宋_GB2312" w:eastAsia="仿宋_GB2312" w:cs="仿宋_GB2312"/>
          <w:sz w:val="32"/>
          <w:szCs w:val="32"/>
        </w:rPr>
        <w:t>、进基层以及中医药文化市集、中国</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广西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一越南</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广宁</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传统医药健康文化大型主题活动等科普宣传活动，形成了独特的中医药健康文化科普宣传品牌。</w:t>
      </w:r>
    </w:p>
    <w:p w14:paraId="305F876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同时，中国一东盟传统医药交流合作中心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广西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办公室设在广西药用植物园。近年来，广西药用植物园与老挝、越南等东盟国家在药用植物资源保护方面开展了多项合作，包括药用植物资源普查、共建老挝国家药用植物园等。这些合作不仅促进了中国和东盟国家的合作交流，保护了濒危药用植物资源，也为中医药的可持续发展提供了重要支撑。广西药用植物园和老挝卫生部传统医药研究院合作编撰《老挝草药典》(第一卷)，并资助建设老挝药用植物种质资源圃，推动传统医药资源的标准化和国际化。这一合作不仅提升了老挝传统医药的标准化水平，也为中医药的海外推广提供了重要平台。</w:t>
      </w:r>
    </w:p>
    <w:p w14:paraId="7777921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黑体" w:hAnsi="黑体" w:eastAsia="黑体" w:cs="黑体"/>
          <w:sz w:val="32"/>
          <w:szCs w:val="32"/>
        </w:rPr>
      </w:pPr>
      <w:r>
        <w:rPr>
          <w:rFonts w:hint="eastAsia" w:ascii="仿宋_GB2312" w:hAnsi="仿宋_GB2312" w:eastAsia="仿宋_GB2312" w:cs="仿宋_GB2312"/>
          <w:sz w:val="32"/>
          <w:szCs w:val="32"/>
        </w:rPr>
        <w:t>鉴于广西药用植物园在与东盟国家的交流合作和在健康科普宣传等相关领域的独特地位和丰富经验，以及在中医药文化传播方面取得的卓越成效，本项目采购具有唯一性，符合《中华人民共和国政府采购法》第三十一条第一款“只能从唯一供应商处采购的”情形，故建议采用单一来源方式采购该项目服务。</w:t>
      </w:r>
    </w:p>
    <w:p w14:paraId="441FEE6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rPr>
      </w:pPr>
      <w:r>
        <w:rPr>
          <w:rFonts w:hint="eastAsia" w:ascii="黑体" w:hAnsi="黑体" w:eastAsia="黑体" w:cs="黑体"/>
          <w:sz w:val="32"/>
          <w:szCs w:val="32"/>
        </w:rPr>
        <w:t>二、拟定供应商信息</w:t>
      </w:r>
    </w:p>
    <w:p w14:paraId="56A62EE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名称：广西</w:t>
      </w:r>
      <w:r>
        <w:rPr>
          <w:rFonts w:hint="eastAsia" w:ascii="仿宋_GB2312" w:hAnsi="仿宋_GB2312" w:eastAsia="仿宋_GB2312" w:cs="仿宋_GB2312"/>
          <w:sz w:val="32"/>
          <w:szCs w:val="32"/>
          <w:lang w:eastAsia="zh-CN"/>
        </w:rPr>
        <w:t>药用植物园</w:t>
      </w:r>
    </w:p>
    <w:p w14:paraId="06A4809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地址：南宁市长堽路189号</w:t>
      </w:r>
    </w:p>
    <w:p w14:paraId="49B5D0D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联系人及联系电话：</w:t>
      </w:r>
      <w:r>
        <w:rPr>
          <w:rFonts w:hint="eastAsia" w:ascii="仿宋_GB2312" w:hAnsi="仿宋_GB2312" w:eastAsia="仿宋_GB2312" w:cs="仿宋_GB2312"/>
          <w:sz w:val="32"/>
          <w:szCs w:val="32"/>
          <w:lang w:eastAsia="zh-CN"/>
        </w:rPr>
        <w:t>白丹宇</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0771-5610310</w:t>
      </w:r>
    </w:p>
    <w:p w14:paraId="363B86C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rPr>
      </w:pPr>
      <w:r>
        <w:rPr>
          <w:rFonts w:hint="eastAsia" w:ascii="黑体" w:hAnsi="黑体" w:eastAsia="黑体" w:cs="黑体"/>
          <w:sz w:val="32"/>
          <w:szCs w:val="32"/>
        </w:rPr>
        <w:t>三、其他补充事宜：无</w:t>
      </w:r>
    </w:p>
    <w:p w14:paraId="57A0CA0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rPr>
      </w:pPr>
      <w:r>
        <w:rPr>
          <w:rFonts w:hint="eastAsia" w:ascii="黑体" w:hAnsi="黑体" w:eastAsia="黑体" w:cs="黑体"/>
          <w:sz w:val="32"/>
          <w:szCs w:val="32"/>
        </w:rPr>
        <w:t>四、采购方联系方式</w:t>
      </w:r>
    </w:p>
    <w:p w14:paraId="0DEEEA5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联系地址：南宁市青秀区桃源路35号</w:t>
      </w:r>
    </w:p>
    <w:p w14:paraId="19FC7B3B">
      <w:pPr>
        <w:keepNext w:val="0"/>
        <w:keepLines w:val="0"/>
        <w:pageBreakBefore w:val="0"/>
        <w:widowControl/>
        <w:kinsoku w:val="0"/>
        <w:wordWrap/>
        <w:overflowPunct/>
        <w:topLinePunct w:val="0"/>
        <w:autoSpaceDE w:val="0"/>
        <w:autoSpaceDN w:val="0"/>
        <w:bidi w:val="0"/>
        <w:adjustRightInd w:val="0"/>
        <w:snapToGrid w:val="0"/>
        <w:spacing w:line="560" w:lineRule="exact"/>
        <w:ind w:firstLine="2240" w:firstLineChars="700"/>
        <w:textAlignment w:val="baseline"/>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自治区中医药局</w:t>
      </w:r>
      <w:r>
        <w:rPr>
          <w:rFonts w:hint="eastAsia" w:ascii="仿宋_GB2312" w:hAnsi="仿宋_GB2312" w:eastAsia="仿宋_GB2312" w:cs="仿宋_GB2312"/>
          <w:sz w:val="32"/>
          <w:szCs w:val="32"/>
          <w:lang w:eastAsia="zh-CN"/>
        </w:rPr>
        <w:t>办公室</w:t>
      </w:r>
    </w:p>
    <w:p w14:paraId="20B73C6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联系人及联系电话：</w:t>
      </w:r>
      <w:r>
        <w:rPr>
          <w:rFonts w:hint="eastAsia" w:ascii="仿宋_GB2312" w:hAnsi="仿宋_GB2312" w:eastAsia="仿宋_GB2312" w:cs="仿宋_GB2312"/>
          <w:sz w:val="32"/>
          <w:szCs w:val="32"/>
          <w:lang w:eastAsia="zh-CN"/>
        </w:rPr>
        <w:t>王妤馨</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0771-</w:t>
      </w:r>
      <w:r>
        <w:rPr>
          <w:rFonts w:hint="eastAsia" w:ascii="仿宋_GB2312" w:hAnsi="仿宋_GB2312" w:eastAsia="仿宋_GB2312" w:cs="仿宋_GB2312"/>
          <w:sz w:val="32"/>
          <w:szCs w:val="32"/>
          <w:lang w:val="en-US" w:eastAsia="zh-CN"/>
        </w:rPr>
        <w:t>2448582</w:t>
      </w:r>
    </w:p>
    <w:p w14:paraId="56C20DF9"/>
    <w:sectPr>
      <w:footerReference r:id="rId5" w:type="default"/>
      <w:pgSz w:w="11900" w:h="16820"/>
      <w:pgMar w:top="1701" w:right="1417" w:bottom="1417" w:left="1701" w:header="0" w:footer="839" w:gutter="0"/>
      <w:pgNumType w:fmt="decimal" w:start="2"/>
      <w:cols w:space="72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Nimbus Roman No9 L">
    <w:panose1 w:val="00000000000000000000"/>
    <w:charset w:val="00"/>
    <w:family w:val="auto"/>
    <w:pitch w:val="default"/>
    <w:sig w:usb0="00000000" w:usb1="00000000" w:usb2="00000000" w:usb3="00000000" w:csb0="00000000" w:csb1="00000000"/>
  </w:font>
  <w:font w:name="Calibri">
    <w:altName w:val="Segoe UI"/>
    <w:panose1 w:val="020F0502020204030204"/>
    <w:charset w:val="00"/>
    <w:family w:val="swiss"/>
    <w:pitch w:val="default"/>
    <w:sig w:usb0="00000000" w:usb1="00000000" w:usb2="00000001" w:usb3="00000000" w:csb0="0000019F" w:csb1="00000000"/>
  </w:font>
  <w:font w:name="Segoe UI">
    <w:panose1 w:val="020B0802040204020203"/>
    <w:charset w:val="00"/>
    <w:family w:val="auto"/>
    <w:pitch w:val="default"/>
    <w:sig w:usb0="E10022FF" w:usb1="C000E47F" w:usb2="00000029" w:usb3="00000000" w:csb0="200001DF" w:csb1="2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00"/>
    <w:family w:val="auto"/>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263A0">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3894BC5">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14:paraId="73894BC5">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DB9134"/>
    <w:rsid w:val="53DB91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Office_12.8.2.1119_F1E327BC-269C-435d-A152-05C5408002CA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2025-04-03T16:51:00Z</dcterms:created>
  <dc:creator>暴躁的小谭</dc:creator>
  <cp:lastModifiedBy>暴躁的小谭</cp:lastModifiedBy>
  <dcterms:modified xsi:type="dcterms:W3CDTF">2025-04-03T16:51:49Z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2052-12.8.2.1119</vt:lpwstr>
  </property>
  <property fmtid="{D5CDD505-2E9C-101B-9397-08002B2CF9AE}" pid="3" name="ICV">
    <vt:lpwstr>60B184F6E156F5B9FA4BEE6791F36BE0_41</vt:lpwstr>
  </property>
</Properties>
</file>