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exact"/>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自治区中医药局办公室关于</w:t>
      </w:r>
    </w:p>
    <w:p>
      <w:pPr>
        <w:spacing w:line="600" w:lineRule="exact"/>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征求中医医疗机构执业校验评分细则</w:t>
      </w:r>
    </w:p>
    <w:p>
      <w:pPr>
        <w:spacing w:line="600" w:lineRule="exact"/>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（试行）（第三次征求意见稿）意见的通知</w:t>
      </w: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各市卫生健康委、中医药局</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rPr>
        <w:t>区直各</w:t>
      </w:r>
      <w:r>
        <w:rPr>
          <w:rFonts w:hint="eastAsia" w:ascii="仿宋_GB2312" w:hAnsi="仿宋_GB2312" w:eastAsia="仿宋_GB2312" w:cs="仿宋_GB2312"/>
          <w:color w:val="auto"/>
          <w:sz w:val="32"/>
          <w:szCs w:val="32"/>
          <w:lang w:eastAsia="zh-CN"/>
        </w:rPr>
        <w:t>中医医疗机构</w:t>
      </w:r>
      <w:r>
        <w:rPr>
          <w:rFonts w:hint="eastAsia" w:ascii="仿宋_GB2312" w:hAnsi="仿宋_GB2312" w:cs="仿宋_GB2312"/>
          <w:color w:val="auto"/>
          <w:sz w:val="32"/>
          <w:szCs w:val="32"/>
          <w:lang w:eastAsia="zh-CN"/>
        </w:rPr>
        <w:t>，</w:t>
      </w:r>
      <w:r>
        <w:rPr>
          <w:rFonts w:hint="eastAsia" w:ascii="仿宋_GB2312" w:hAnsi="仿宋_GB2312" w:cs="仿宋_GB2312"/>
          <w:color w:val="auto"/>
          <w:sz w:val="32"/>
          <w:szCs w:val="32"/>
          <w:lang w:val="en-US" w:eastAsia="zh-CN"/>
        </w:rPr>
        <w:t>自治区医管中心，自治区卫生监督所</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为加强中医医疗机构管理，规范中医医疗机构执业校验，我</w:t>
      </w:r>
      <w:r>
        <w:rPr>
          <w:rFonts w:hint="eastAsia" w:ascii="仿宋_GB2312" w:hAnsi="仿宋_GB2312" w:cs="仿宋_GB2312"/>
          <w:color w:val="auto"/>
          <w:sz w:val="32"/>
          <w:szCs w:val="32"/>
          <w:lang w:val="en-US" w:eastAsia="zh-CN"/>
        </w:rPr>
        <w:t>局</w:t>
      </w:r>
      <w:r>
        <w:rPr>
          <w:rFonts w:hint="eastAsia" w:ascii="仿宋_GB2312" w:hAnsi="仿宋_GB2312" w:eastAsia="仿宋_GB2312" w:cs="仿宋_GB2312"/>
          <w:color w:val="auto"/>
          <w:sz w:val="32"/>
          <w:szCs w:val="32"/>
          <w:lang w:val="en-US" w:eastAsia="zh-CN"/>
        </w:rPr>
        <w:t>起草了</w:t>
      </w:r>
      <w:r>
        <w:rPr>
          <w:rFonts w:hint="eastAsia" w:ascii="仿宋_GB2312" w:hAnsi="仿宋_GB2312" w:cs="仿宋_GB2312"/>
          <w:color w:val="auto"/>
          <w:sz w:val="32"/>
          <w:szCs w:val="32"/>
          <w:lang w:val="en-US" w:eastAsia="zh-CN"/>
        </w:rPr>
        <w:t>《</w:t>
      </w:r>
      <w:r>
        <w:rPr>
          <w:rFonts w:hint="eastAsia" w:ascii="仿宋_GB2312" w:hAnsi="仿宋_GB2312" w:eastAsia="仿宋_GB2312" w:cs="仿宋_GB2312"/>
          <w:color w:val="auto"/>
          <w:sz w:val="32"/>
          <w:szCs w:val="32"/>
          <w:lang w:val="en-US" w:eastAsia="zh-CN"/>
        </w:rPr>
        <w:t>一、二、三级中医医疗机构执业校验评分细则</w:t>
      </w:r>
      <w:r>
        <w:rPr>
          <w:rFonts w:hint="eastAsia" w:ascii="仿宋_GB2312" w:hAnsi="仿宋_GB2312" w:cs="仿宋_GB2312"/>
          <w:color w:val="auto"/>
          <w:sz w:val="32"/>
          <w:szCs w:val="32"/>
          <w:lang w:val="en-US" w:eastAsia="zh-CN"/>
        </w:rPr>
        <w:t>（试行）》</w:t>
      </w:r>
      <w:r>
        <w:rPr>
          <w:rFonts w:hint="eastAsia" w:ascii="仿宋_GB2312" w:hAnsi="仿宋_GB2312" w:eastAsia="仿宋_GB2312" w:cs="仿宋_GB2312"/>
          <w:color w:val="auto"/>
          <w:sz w:val="32"/>
          <w:szCs w:val="32"/>
          <w:lang w:val="en-US" w:eastAsia="zh-CN"/>
        </w:rPr>
        <w:t>（</w:t>
      </w:r>
      <w:r>
        <w:rPr>
          <w:rFonts w:hint="eastAsia" w:ascii="仿宋_GB2312" w:hAnsi="仿宋_GB2312" w:cs="仿宋_GB2312"/>
          <w:color w:val="auto"/>
          <w:sz w:val="32"/>
          <w:szCs w:val="32"/>
          <w:lang w:val="en-US" w:eastAsia="zh-CN"/>
        </w:rPr>
        <w:t>以下简称“校验评分细则”</w:t>
      </w:r>
      <w:r>
        <w:rPr>
          <w:rFonts w:hint="eastAsia" w:ascii="仿宋_GB2312" w:hAnsi="仿宋_GB2312" w:eastAsia="仿宋_GB2312" w:cs="仿宋_GB2312"/>
          <w:color w:val="auto"/>
          <w:sz w:val="32"/>
          <w:szCs w:val="32"/>
          <w:lang w:val="en-US" w:eastAsia="zh-CN"/>
        </w:rPr>
        <w:t>）</w:t>
      </w:r>
      <w:r>
        <w:rPr>
          <w:rFonts w:hint="eastAsia" w:ascii="仿宋_GB2312" w:hAnsi="仿宋_GB2312" w:cs="仿宋_GB2312"/>
          <w:color w:val="auto"/>
          <w:sz w:val="32"/>
          <w:szCs w:val="32"/>
          <w:lang w:val="en-US" w:eastAsia="zh-CN"/>
        </w:rPr>
        <w:t>，并分别于2024年5月和8月将《校验评分细则》两次挂网公开征求意见，根据各单位提出的修改意见，经专家论证后，整理形成《校验评分细则》第三次征求意见稿。现再次征求你们意见，</w:t>
      </w:r>
      <w:r>
        <w:rPr>
          <w:rFonts w:hint="eastAsia" w:ascii="仿宋_GB2312" w:hAnsi="仿宋_GB2312" w:eastAsia="仿宋_GB2312" w:cs="仿宋_GB2312"/>
          <w:color w:val="auto"/>
          <w:sz w:val="32"/>
          <w:szCs w:val="32"/>
          <w:lang w:val="en-US" w:eastAsia="zh-CN"/>
        </w:rPr>
        <w:t>请于2024年</w:t>
      </w:r>
      <w:r>
        <w:rPr>
          <w:rFonts w:hint="eastAsia" w:ascii="仿宋_GB2312" w:hAnsi="仿宋_GB2312" w:cs="仿宋_GB2312"/>
          <w:color w:val="auto"/>
          <w:sz w:val="32"/>
          <w:szCs w:val="32"/>
          <w:lang w:val="en-US" w:eastAsia="zh-CN"/>
        </w:rPr>
        <w:t>9</w:t>
      </w:r>
      <w:r>
        <w:rPr>
          <w:rFonts w:hint="eastAsia" w:ascii="仿宋_GB2312" w:hAnsi="仿宋_GB2312" w:eastAsia="仿宋_GB2312" w:cs="仿宋_GB2312"/>
          <w:color w:val="auto"/>
          <w:sz w:val="32"/>
          <w:szCs w:val="32"/>
          <w:lang w:val="en-US" w:eastAsia="zh-CN"/>
        </w:rPr>
        <w:t>月</w:t>
      </w:r>
      <w:r>
        <w:rPr>
          <w:rFonts w:hint="eastAsia" w:ascii="仿宋_GB2312" w:hAnsi="仿宋_GB2312" w:cs="仿宋_GB2312"/>
          <w:color w:val="auto"/>
          <w:sz w:val="32"/>
          <w:szCs w:val="32"/>
          <w:lang w:val="en-US" w:eastAsia="zh-CN"/>
        </w:rPr>
        <w:t>20</w:t>
      </w:r>
      <w:r>
        <w:rPr>
          <w:rFonts w:hint="eastAsia" w:ascii="仿宋_GB2312" w:hAnsi="仿宋_GB2312" w:eastAsia="仿宋_GB2312" w:cs="仿宋_GB2312"/>
          <w:color w:val="auto"/>
          <w:sz w:val="32"/>
          <w:szCs w:val="32"/>
          <w:lang w:val="en-US" w:eastAsia="zh-CN"/>
        </w:rPr>
        <w:t>日前将修改意见反馈至指定邮箱。逾期不反馈，则视为无意见。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联系人及电话：</w:t>
      </w:r>
    </w:p>
    <w:p>
      <w:pPr>
        <w:keepNext w:val="0"/>
        <w:keepLines w:val="0"/>
        <w:pageBreakBefore w:val="0"/>
        <w:widowControl w:val="0"/>
        <w:kinsoku/>
        <w:wordWrap/>
        <w:overflowPunct/>
        <w:topLinePunct w:val="0"/>
        <w:autoSpaceDE/>
        <w:autoSpaceDN/>
        <w:bidi w:val="0"/>
        <w:adjustRightInd/>
        <w:snapToGrid/>
        <w:spacing w:line="560" w:lineRule="exact"/>
        <w:ind w:firstLine="616" w:firstLineChars="200"/>
        <w:textAlignment w:val="auto"/>
        <w:rPr>
          <w:rFonts w:hint="eastAsia" w:ascii="仿宋_GB2312" w:hAnsi="仿宋_GB2312" w:eastAsia="仿宋_GB2312" w:cs="仿宋_GB2312"/>
          <w:color w:val="auto"/>
          <w:spacing w:val="-6"/>
          <w:sz w:val="32"/>
          <w:szCs w:val="32"/>
          <w:lang w:val="en-US" w:eastAsia="zh-CN"/>
        </w:rPr>
      </w:pPr>
      <w:r>
        <w:rPr>
          <w:rFonts w:hint="eastAsia" w:ascii="仿宋_GB2312" w:hAnsi="仿宋_GB2312" w:eastAsia="仿宋_GB2312" w:cs="仿宋_GB2312"/>
          <w:color w:val="auto"/>
          <w:spacing w:val="-6"/>
          <w:sz w:val="32"/>
          <w:szCs w:val="32"/>
          <w:lang w:val="en-US" w:eastAsia="zh-CN"/>
        </w:rPr>
        <w:t>自治区中医药局医政处 谢中英  0771-2802993</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邮箱：</w:t>
      </w:r>
      <w:r>
        <w:rPr>
          <w:rFonts w:hint="default" w:ascii="Times New Roman" w:hAnsi="Times New Roman" w:eastAsia="仿宋_GB2312" w:cs="Times New Roman"/>
          <w:color w:val="auto"/>
          <w:sz w:val="32"/>
          <w:szCs w:val="32"/>
          <w:lang w:val="en-US" w:eastAsia="zh-CN"/>
        </w:rPr>
        <w:t>zyyzc@wsjkw.gxzf.gov.cn</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1609" w:leftChars="199" w:hanging="972" w:hangingChars="304"/>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附件：1.三级中医医疗机构执业校验评分细则</w:t>
      </w:r>
      <w:r>
        <w:rPr>
          <w:rFonts w:hint="eastAsia" w:ascii="仿宋_GB2312" w:hAnsi="仿宋_GB2312" w:cs="仿宋_GB2312"/>
          <w:color w:val="auto"/>
          <w:sz w:val="32"/>
          <w:szCs w:val="32"/>
          <w:lang w:val="en-US" w:eastAsia="zh-CN"/>
        </w:rPr>
        <w:t>（试行）</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1600" w:firstLineChars="5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2.二级中医医疗机构执业校验评分细则</w:t>
      </w:r>
      <w:r>
        <w:rPr>
          <w:rFonts w:hint="eastAsia" w:ascii="仿宋_GB2312" w:hAnsi="仿宋_GB2312" w:cs="仿宋_GB2312"/>
          <w:color w:val="auto"/>
          <w:sz w:val="32"/>
          <w:szCs w:val="32"/>
          <w:lang w:val="en-US" w:eastAsia="zh-CN"/>
        </w:rPr>
        <w:t>（试行）</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1600" w:firstLineChars="500"/>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3.一级</w:t>
      </w:r>
      <w:r>
        <w:rPr>
          <w:rFonts w:hint="eastAsia" w:ascii="仿宋_GB2312" w:hAnsi="仿宋_GB2312" w:eastAsia="仿宋_GB2312" w:cs="仿宋_GB2312"/>
          <w:color w:val="auto"/>
          <w:sz w:val="32"/>
          <w:szCs w:val="32"/>
          <w:highlight w:val="none"/>
          <w:lang w:val="en-US" w:eastAsia="zh-CN"/>
        </w:rPr>
        <w:t>中医医疗机构</w:t>
      </w:r>
      <w:r>
        <w:rPr>
          <w:rFonts w:hint="eastAsia" w:ascii="仿宋_GB2312" w:hAnsi="仿宋_GB2312" w:eastAsia="仿宋_GB2312" w:cs="仿宋_GB2312"/>
          <w:color w:val="auto"/>
          <w:sz w:val="32"/>
          <w:szCs w:val="32"/>
          <w:lang w:val="en-US" w:eastAsia="zh-CN"/>
        </w:rPr>
        <w:t>执业</w:t>
      </w:r>
      <w:bookmarkStart w:id="0" w:name="_GoBack"/>
      <w:bookmarkEnd w:id="0"/>
      <w:r>
        <w:rPr>
          <w:rFonts w:hint="eastAsia" w:ascii="仿宋_GB2312" w:hAnsi="仿宋_GB2312" w:eastAsia="仿宋_GB2312" w:cs="仿宋_GB2312"/>
          <w:color w:val="auto"/>
          <w:sz w:val="32"/>
          <w:szCs w:val="32"/>
          <w:lang w:val="en-US" w:eastAsia="zh-CN"/>
        </w:rPr>
        <w:t>校验评分细则</w:t>
      </w:r>
      <w:r>
        <w:rPr>
          <w:rFonts w:hint="eastAsia" w:ascii="仿宋_GB2312" w:hAnsi="仿宋_GB2312" w:cs="仿宋_GB2312"/>
          <w:color w:val="auto"/>
          <w:sz w:val="32"/>
          <w:szCs w:val="32"/>
          <w:lang w:val="en-US" w:eastAsia="zh-CN"/>
        </w:rPr>
        <w:t>（试行）</w:t>
      </w:r>
    </w:p>
    <w:p>
      <w:pPr>
        <w:keepNext w:val="0"/>
        <w:keepLines w:val="0"/>
        <w:pageBreakBefore w:val="0"/>
        <w:widowControl w:val="0"/>
        <w:kinsoku/>
        <w:wordWrap/>
        <w:overflowPunct/>
        <w:topLinePunct w:val="0"/>
        <w:autoSpaceDE/>
        <w:autoSpaceDN/>
        <w:bidi w:val="0"/>
        <w:adjustRightInd/>
        <w:snapToGrid/>
        <w:spacing w:line="560" w:lineRule="exact"/>
        <w:ind w:left="320" w:leftChars="0" w:hanging="320" w:hangingChars="100"/>
        <w:textAlignment w:val="auto"/>
        <w:rPr>
          <w:rFonts w:hint="eastAsia" w:ascii="仿宋_GB2312" w:hAnsi="仿宋_GB2312" w:eastAsia="仿宋_GB2312" w:cs="仿宋_GB2312"/>
          <w:color w:val="auto"/>
          <w:sz w:val="32"/>
          <w:szCs w:val="32"/>
          <w:lang w:val="en-US" w:eastAsia="zh-CN"/>
        </w:rPr>
        <w:sectPr>
          <w:footerReference r:id="rId5" w:type="default"/>
          <w:pgSz w:w="11906" w:h="16838"/>
          <w:pgMar w:top="1701" w:right="1417" w:bottom="1417" w:left="1701" w:header="851" w:footer="992" w:gutter="0"/>
          <w:paperSrc/>
          <w:pgBorders>
            <w:top w:val="none" w:sz="0" w:space="0"/>
            <w:left w:val="none" w:sz="0" w:space="0"/>
            <w:bottom w:val="none" w:sz="0" w:space="0"/>
            <w:right w:val="none" w:sz="0" w:space="0"/>
          </w:pgBorders>
          <w:pgNumType w:fmt="decimal" w:start="1"/>
          <w:cols w:space="720" w:num="1"/>
          <w:titlePg/>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ind w:left="1920" w:leftChars="500" w:hanging="320" w:hangingChars="100"/>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4.广西壮族自治区</w:t>
      </w:r>
      <w:r>
        <w:rPr>
          <w:rFonts w:hint="eastAsia" w:ascii="仿宋_GB2312" w:hAnsi="仿宋_GB2312" w:eastAsia="仿宋_GB2312" w:cs="仿宋_GB2312"/>
          <w:color w:val="auto"/>
          <w:sz w:val="32"/>
          <w:szCs w:val="32"/>
          <w:highlight w:val="none"/>
          <w:lang w:val="en-US" w:eastAsia="zh-CN"/>
        </w:rPr>
        <w:t>中医医疗机构</w:t>
      </w:r>
      <w:r>
        <w:rPr>
          <w:rFonts w:hint="eastAsia" w:ascii="仿宋_GB2312" w:hAnsi="仿宋_GB2312" w:cs="仿宋_GB2312"/>
          <w:color w:val="auto"/>
          <w:sz w:val="32"/>
          <w:szCs w:val="32"/>
          <w:highlight w:val="none"/>
          <w:lang w:val="en-US" w:eastAsia="zh-CN"/>
        </w:rPr>
        <w:t>执业</w:t>
      </w:r>
      <w:r>
        <w:rPr>
          <w:rFonts w:hint="eastAsia" w:ascii="仿宋_GB2312" w:hAnsi="仿宋_GB2312" w:eastAsia="仿宋_GB2312" w:cs="仿宋_GB2312"/>
          <w:color w:val="auto"/>
          <w:sz w:val="32"/>
          <w:szCs w:val="32"/>
          <w:highlight w:val="none"/>
          <w:lang w:val="en-US" w:eastAsia="zh-CN"/>
        </w:rPr>
        <w:t>校验现场审查</w:t>
      </w:r>
      <w:r>
        <w:rPr>
          <w:rFonts w:hint="eastAsia" w:ascii="仿宋_GB2312" w:hAnsi="仿宋_GB2312" w:eastAsia="仿宋_GB2312" w:cs="仿宋_GB2312"/>
          <w:color w:val="auto"/>
          <w:sz w:val="32"/>
          <w:szCs w:val="32"/>
          <w:lang w:val="en-US" w:eastAsia="zh-CN"/>
        </w:rPr>
        <w:t>评分细则说明</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color w:val="auto"/>
          <w:sz w:val="32"/>
          <w:szCs w:val="32"/>
          <w:lang w:val="en-US" w:eastAsia="zh-CN"/>
        </w:rPr>
      </w:pPr>
    </w:p>
    <w:p>
      <w:pPr>
        <w:keepNext w:val="0"/>
        <w:keepLines w:val="0"/>
        <w:pageBreakBefore w:val="0"/>
        <w:widowControl w:val="0"/>
        <w:kinsoku/>
        <w:wordWrap w:val="0"/>
        <w:overflowPunct/>
        <w:topLinePunct w:val="0"/>
        <w:autoSpaceDE/>
        <w:autoSpaceDN/>
        <w:bidi w:val="0"/>
        <w:adjustRightInd/>
        <w:snapToGrid/>
        <w:spacing w:line="560" w:lineRule="exact"/>
        <w:jc w:val="right"/>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广西壮族自治区中医药管理局办公室</w:t>
      </w:r>
      <w:r>
        <w:rPr>
          <w:rFonts w:hint="eastAsia" w:ascii="仿宋_GB2312" w:hAnsi="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60" w:lineRule="exact"/>
        <w:jc w:val="right"/>
        <w:textAlignment w:val="auto"/>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2024年</w:t>
      </w:r>
      <w:r>
        <w:rPr>
          <w:rFonts w:hint="eastAsia" w:ascii="仿宋_GB2312" w:hAnsi="仿宋_GB2312" w:cs="仿宋_GB2312"/>
          <w:color w:val="auto"/>
          <w:sz w:val="32"/>
          <w:szCs w:val="32"/>
          <w:lang w:val="en-US" w:eastAsia="zh-CN"/>
        </w:rPr>
        <w:t>9</w:t>
      </w:r>
      <w:r>
        <w:rPr>
          <w:rFonts w:hint="eastAsia" w:ascii="仿宋_GB2312" w:hAnsi="仿宋_GB2312" w:eastAsia="仿宋_GB2312" w:cs="仿宋_GB2312"/>
          <w:color w:val="auto"/>
          <w:sz w:val="32"/>
          <w:szCs w:val="32"/>
          <w:lang w:val="en-US" w:eastAsia="zh-CN"/>
        </w:rPr>
        <w:t>月</w:t>
      </w:r>
      <w:r>
        <w:rPr>
          <w:rFonts w:hint="eastAsia" w:ascii="仿宋_GB2312" w:hAnsi="仿宋_GB2312" w:cs="仿宋_GB2312"/>
          <w:color w:val="auto"/>
          <w:sz w:val="32"/>
          <w:szCs w:val="32"/>
          <w:lang w:val="en-US" w:eastAsia="zh-CN"/>
        </w:rPr>
        <w:t>13</w:t>
      </w:r>
      <w:r>
        <w:rPr>
          <w:rFonts w:hint="eastAsia" w:ascii="仿宋_GB2312" w:hAnsi="仿宋_GB2312" w:eastAsia="仿宋_GB2312" w:cs="仿宋_GB2312"/>
          <w:color w:val="auto"/>
          <w:sz w:val="32"/>
          <w:szCs w:val="32"/>
          <w:lang w:val="en-US" w:eastAsia="zh-CN"/>
        </w:rPr>
        <w:t>日</w:t>
      </w:r>
      <w:r>
        <w:rPr>
          <w:rFonts w:hint="eastAsia" w:ascii="仿宋_GB2312" w:hAnsi="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hAnsi="仿宋_GB2312" w:eastAsia="仿宋_GB2312" w:cs="仿宋_GB2312"/>
          <w:color w:val="auto"/>
          <w:sz w:val="32"/>
          <w:szCs w:val="32"/>
          <w:lang w:val="en-US" w:eastAsia="zh-CN"/>
        </w:rPr>
        <w:sectPr>
          <w:footerReference r:id="rId6" w:type="default"/>
          <w:pgSz w:w="11906" w:h="16838"/>
          <w:pgMar w:top="1701" w:right="1417" w:bottom="1417" w:left="1701" w:header="851" w:footer="992" w:gutter="0"/>
          <w:pgBorders>
            <w:top w:val="none" w:sz="0" w:space="0"/>
            <w:left w:val="none" w:sz="0" w:space="0"/>
            <w:bottom w:val="none" w:sz="0" w:space="0"/>
            <w:right w:val="none" w:sz="0" w:space="0"/>
          </w:pgBorders>
          <w:pgNumType w:fmt="decimal" w:start="2"/>
          <w:cols w:space="720" w:num="1"/>
          <w:docGrid w:type="lines" w:linePitch="312" w:charSpace="0"/>
        </w:sectPr>
      </w:pP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rPr>
        <w:t>此件公开发布</w:t>
      </w:r>
      <w:r>
        <w:rPr>
          <w:rFonts w:hint="eastAsia" w:ascii="仿宋_GB2312" w:hAnsi="仿宋_GB2312" w:eastAsia="仿宋_GB2312" w:cs="仿宋_GB2312"/>
          <w:color w:val="auto"/>
          <w:sz w:val="32"/>
          <w:szCs w:val="32"/>
          <w:lang w:val="en-US" w:eastAsia="zh-CN"/>
        </w:rPr>
        <w:t>）</w:t>
      </w:r>
    </w:p>
    <w:p>
      <w:pPr>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lang w:val="en-US" w:eastAsia="zh-CN"/>
        </w:rPr>
      </w:pPr>
    </w:p>
    <w:p>
      <w:pPr>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三级中医医疗机构执业校验评分细则（试行）</w:t>
      </w:r>
    </w:p>
    <w:p>
      <w:pPr>
        <w:pStyle w:val="2"/>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lang w:val="en-US" w:eastAsia="zh-CN"/>
        </w:rPr>
      </w:pPr>
    </w:p>
    <w:tbl>
      <w:tblPr>
        <w:tblStyle w:val="10"/>
        <w:tblW w:w="5044"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32"/>
        <w:gridCol w:w="1167"/>
        <w:gridCol w:w="4100"/>
        <w:gridCol w:w="1735"/>
        <w:gridCol w:w="4899"/>
        <w:gridCol w:w="11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6" w:hRule="atLeast"/>
          <w:tblHeader/>
          <w:jc w:val="center"/>
        </w:trPr>
        <w:tc>
          <w:tcPr>
            <w:tcW w:w="3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审查项目</w:t>
            </w:r>
          </w:p>
        </w:tc>
        <w:tc>
          <w:tcPr>
            <w:tcW w:w="1873"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审查内容</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审查方法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评分标准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68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★床位（牙椅）编制配置：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①中医（中西医结合、民族医）医院住院床位总数≧300张。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②中西医结合骨科医院床位总数≧300张（其中骨科专业床位占比≧60%）。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规定以实际开放床位数计算每床卫生技术人员数、每床配备护士数、每床建筑面积、每床净使用面积。</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查看批文、医疗机构执业许可证</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★【一票否决】床位（牙椅）编制床位配置不符合配置要求的。</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科室设置</w:t>
            </w:r>
          </w:p>
        </w:tc>
        <w:tc>
          <w:tcPr>
            <w:tcW w:w="145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★1.中医医院、中西医结合医院、民族医医院：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临床科室设置：至少设有急诊科、内科、外科、妇产科、儿科、重症医学科（含专科重症监护病房：如急诊重症监护病房、呼吸重症监护病房）、针灸科、康复科、骨伤科、肛肠科、皮肤科、眼科、推拿科（仅中医医院）、耳鼻喉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②医技科室：至少设有药剂科、检验科、放射科、病理科、血库（仅中西医结合医院）、消毒供应室、营养部和相应的临床功能检查室。</w:t>
            </w:r>
          </w:p>
        </w:tc>
        <w:tc>
          <w:tcPr>
            <w:tcW w:w="617"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现场考查科室设置，查阅资料。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①临床科室设置：至少设有急诊科、内科、外科、妇产科（备注：妇科或产科）、儿科、重症医学科（含专科重症监护病房：如急诊重症监护病房、呼吸重症监护病房）、针灸科、康复科、骨伤科、肛肠科、皮肤科、眼科、推拿科（仅中医医院）、耳鼻喉科。</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45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61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★【一票否决】②医技科室：至少设有药学部、检验科、放射科、病理科（备注：可与第三方合作）、输血科、消毒供应室（备注：可与第三方合作）、营养部和相应的临床功能检查室。</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45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★2.中西医结合骨科医院：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临床科室：至少独立设有正骨科、筋伤科、创伤骨科（可按病变部位分科）、骨关节科、脊柱科、小儿骨科、骨病科（以骨结核、骨髓炎等特异性感染疾病为主）中的5个亚专科、康复科、内科、外科、重症医学科（含专科重症监护病房：如急诊重症监护病房、呼吸重症监护病房）、急诊科、麻醉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②医技科室：至少设置药剂科、检验科、输血科、医学影像科、电生理检查科（室）、手术室、病理科、消毒供应室、营养科。</w:t>
            </w:r>
          </w:p>
        </w:tc>
        <w:tc>
          <w:tcPr>
            <w:tcW w:w="617"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现场考查科室设置，查阅资料。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①临床科室：至少独立设有正骨科、筋伤科、创伤骨科（可按病变部位分科）、骨关节科、脊柱科、小儿骨科、骨病科（以骨结核、骨髓炎等特异性感染疾病为主）中的5个亚专科、康复科、内科、外科、重症医学科（含专科重症监护病房：如急诊重症监护病房、呼吸重症监护病房）、急诊科、麻醉科。</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2"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45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61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★【一票否决】②医技科室：至少设置药学部、检验科、输血科、医学影像科、电生理检查科（室）、手术室、病理科（备注：可与第三方合作）、消毒供应室（备注：可与第三方合作）、营养科。</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1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人员配备</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★人员配备：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★1.中医医院、民族医院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①每床至少配有1名卫生技术人员；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②每床至少配有0.3名护士；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④各临床科室的中医类别执业医师资格占比要求：中医医院、民族医院至少有60%为中医类别执业医师资格（含西学中人员），口腔、麻醉等特殊科室除外；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⑤各临床科室的主任必须是具有副主任医师以上职称的医师；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⑥至少有1名具有副主任药师以上职称的中药师，检验、放射科具有副主任技师、副主任医师以上职称；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⑦至少有1名临床营养师；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⑧工程技术人员（技师、助理工程师及以上人员）占卫生技术人员的比例不低于1%。</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83"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★2.中西医结合医院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①每床至少配有1.1名卫生技术人员；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②每床至少配有0.4名护士；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④各临床科室的中医类别执业医师资格占比要求：中西医结合医院至少有40%为中西医结合医师或中医类别执业医师资格（含西学中人员），口腔、麻醉等特殊科室除外；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⑤各临床科室的主任必须是具有副主任医师以上职称的医师；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⑥至少有1名具有副主任药师以上职称的中药师，检验、放射科具有副主任技师、副主任医师以上职称；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⑦至少有1名临床营养师（备注：有营养师证，参与临床营养指导工作）；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⑧工程技术人员（技师、助理工程师及以上人员）占卫生技术人员的比例不低于1%。</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4"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人员配备</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★3.中西医结合骨科医院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①每床至少配有1名卫生技术人员；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②每床至少配有0.3名护士；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④各临床科室的中医类别执业医师资格占比要求：中西医结合骨科医院至少有40%为中西医结合医师或中医类别执业医师资格（含西学中人员），口腔、麻醉等特殊科室除外；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⑤各临床科室的主任必须是具有副主任医师以上职称的医师；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⑦至少有1名临床营养师；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⑧工程技术人员（技师、助理工程师及以上人员）占卫生技术人员的比例不低于1%。</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2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房屋面积</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医院基本建设符合《中医医院建设标准》要求，其中每床建筑面积参照《中医医院建设标准》：床位300张-499张，108 m²/床；床位500张-799张，110 m²/床；床位800张-999张，108 m²/床；床位1000张以上，105 m²/床。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★医疗机构用房不能满足诊疗服务功能，每床建筑面积低于45 m²，一票否决。</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核查医疗机构业务用房面积、每床净使用面积、日平均每门诊人次占门诊建筑面积等。核查相应科室的建筑面积或使用面积。</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★【一票否决】每床建筑面积&lt;45平方米。</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7"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设备配备</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★临床科室、医技科室、中药房的基本设备、病房每床单元设备、与开展的诊疗科目相应的其他设备能够满足诊疗活动的需要，达到国家中医药管理局《中医医院医疗设备配置标准（试行）》并能正常使用。</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按照《三级中医医院医疗设备配置标准》，核查临床科室、医技科室、中药房设备是否符合要求。</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现场查看设备，抽查设备清单、购置票据或设备卡片、设备档案等。使用先进设备应包含基本功能。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★【一票否决】基本设备（功能）缺失。</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消毒供应、医学检验或病理检查与其他合法机构签订相关服务合同，并由其提供服务的，在满足急诊工作需要的基础上可不配备消毒供应和部分检验、病理检查设备。</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7" w:hRule="atLeast"/>
          <w:jc w:val="center"/>
        </w:trPr>
        <w:tc>
          <w:tcPr>
            <w:tcW w:w="367" w:type="pct"/>
            <w:vMerge w:val="continue"/>
            <w:tcBorders>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nil"/>
              <w:left w:val="nil"/>
              <w:bottom w:val="single" w:color="auto" w:sz="4" w:space="0"/>
              <w:right w:val="nil"/>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医院管理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安全管理</w:t>
            </w:r>
          </w:p>
        </w:tc>
        <w:tc>
          <w:tcPr>
            <w:tcW w:w="1458"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★严格执行医疗用毒性药品、麻醉药品、精神药品、放射性药品管理制度，做到专人负责、专柜加锁、专用账册、专用处方、专册登记；无毒麻药品丢失现象。</w:t>
            </w:r>
          </w:p>
        </w:tc>
        <w:tc>
          <w:tcPr>
            <w:tcW w:w="617"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查管理制度、使用情况及其记录。</w:t>
            </w:r>
          </w:p>
        </w:tc>
        <w:tc>
          <w:tcPr>
            <w:tcW w:w="1740"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★【一票否决】未按规范管理造成毒麻药品丢失的，一票否决。</w:t>
            </w:r>
          </w:p>
        </w:tc>
        <w:tc>
          <w:tcPr>
            <w:tcW w:w="400" w:type="pct"/>
            <w:tcBorders>
              <w:top w:val="single" w:color="000000" w:sz="4" w:space="0"/>
              <w:left w:val="single" w:color="000000" w:sz="4" w:space="0"/>
              <w:bottom w:val="single" w:color="auto"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0" w:hRule="atLeast"/>
          <w:jc w:val="center"/>
        </w:trPr>
        <w:tc>
          <w:tcPr>
            <w:tcW w:w="367" w:type="pct"/>
            <w:vMerge w:val="restar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一、基本</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标准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（一）床位（3分）</w:t>
            </w:r>
          </w:p>
        </w:tc>
        <w:tc>
          <w:tcPr>
            <w:tcW w:w="1458"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床位（牙椅）编制配置：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①中医（中西医结合、民族医）医院住院床位总数≧300张。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②中西医结合骨科医院床位总数≧300张（其中骨科专业床位占比≧60%）。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规定以实际开放床位数计算每床卫生技术人员数、每床配备护士数、每床建筑面积、每床净使用面积。</w:t>
            </w:r>
          </w:p>
        </w:tc>
        <w:tc>
          <w:tcPr>
            <w:tcW w:w="617"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查看批文、医疗机构执业许可证</w:t>
            </w:r>
          </w:p>
        </w:tc>
        <w:tc>
          <w:tcPr>
            <w:tcW w:w="1740"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实际开放床位数与申请登记（核准）床位数基本相符得3分，否则按以下情形扣分：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①10%&lt;（实际开放床位数－登记（核准）床位数）/登记（核准）≤20%，扣1分；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②20%&lt;（实际开放床位数－登记（核准）床位数）/登记（核准）≤30%时，扣2分；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③30%&lt;（实际开放床位数－登记（核准）床位数）/登记（核准），扣3分；</w:t>
            </w:r>
          </w:p>
        </w:tc>
        <w:tc>
          <w:tcPr>
            <w:tcW w:w="400" w:type="pct"/>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（二）房屋面积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医院基本建设符合《中医医院建设标准》要求，其中每床建筑面积参照《中医医院建设标准》：床位300张-499张，108 m²/床；床位500张-799张，110 m²/床；床位800张-999张，108 m²/床；床位1000张以上，105 m²/床。</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核查医疗机构业务用房面积、每床净使用面积、日平均每门诊人次占门诊建筑面积等。核查相应科室的建筑面积或使用面积。</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按实际申报床位（牙椅）数计算，每床建筑面积：≥100平方米的，得3分；每少10平方米扣0.1分。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20"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（三）规章制度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制订各项规章制度、人员岗位责任制，有国家制定或认可的医疗护理技术操作规程，应急管理规定，并成册可用。</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查阅相关制度及有关医疗护理技术操作规范、常规等资料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①有人员岗位职责明确得1分，否则不得分；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②有国家制定或认可的医疗技术操作规程、诊疗规范、管理规定齐全并装订成册的（详见目录1）（补目录及审查方法），得1分，每少1项扣0.1分，扣完为止；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③有国家制定或认可的护理技术操作规程、诊疗规范、管理规定齐全并装订成册的，得1分，每少1个技术的扣0.1分，扣完为止；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④有应急、消防、行风管理规定齐全并装订成册的，得1分，每一项有缺漏的扣0.2分，扣完为止。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二、依法</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（一）依法执业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1.医疗机构应按期申请执业校验。</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核查医疗机构是否按期申请执业校验。</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①在校验期满前1—3个月申请执业校验的，得1分。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②在校验期满后申请执业校验的，得0分。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7"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2.不良执业行为记分情况。</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核查医疗机构校验周期内的不良执业行为记分情况。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校验周期内无医疗机构不良执业行为扣分的，得2分，否则按以下情形计分：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①校验期内不良执业行为记分＜4分的，得1.5分；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②校验期内不良执业行为记分≥4且＜8分的，得1分；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③校验期内不良执业行为记分≥8且＜12，得0.5分。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（一）组织管理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1.医院应有健全的科学管理体系，医院领导职责分工明确。</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查医院领导正、副职分工文件。</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有领导职责分工相关文件的，得1分，否则不得分。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3"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2.医院实行目标管理，并制定中、长期发展规划和年度计划；做好执行计划的协调、检查、考核与评价。</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查医院发展规划、周期内年度计划和总结，计划完成评价。</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有中、长期发展规划和年度计划的，得1分，否则按以下情形扣分：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①缺中长期规划的，扣0.4分；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②缺年度计划的，扣0.4分；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③未做好执行计划的协调、检查、考核评价的扣0.2分；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④材料全无扣1分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4"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3.完善综合评价体系， 体现中医特点，建立以中医临床疗效为核心、以服务能力与绩效为基础的考核和激励制度。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随机抽查5个科室考评方案及绩效分配方案</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科室综合考核目标中体现中医药、民族医药特色优势和提高临床疗效指标的，得1分；否则按以下情形扣分：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①指标不具体，或未实施的，扣0.3分；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②部分实施的，扣0.1分；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③未实行绩效工资管理，不得分；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④考核结果未体现在科室分配方案中，每个科扣0.1分。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（二）信息管理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1.设立相应的信息管理部门，包括病案室、统计室、图书室（数字图书馆或数据库）等；医院信息（包括医疗、病案统计、财务、人事、药学等信息）实现信息化管理。</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查医院设置文件并现场检查，查信息化实施情况。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相关部门实现信息化管理的，得1分，否则按以下情形扣分：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①缺1个部门，每个扣0.2分；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②未实行信息化管理扣1分。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5"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2.病案及时归档，按自治区卫生行政部门现行要求进行编码，无丢失等现象。</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现场检查病案科（室）、抽查10份以上病案。</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病案及时归档并编码的，得1分，否则按以下情形扣分：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①发现一份病案有缺项的，扣0.1分，扣完为止；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②不按规定编码、无病历归档管理记录不得分。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4"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3.各种统计、分析、编码及信息必须采用国家和部颁标准；数据真实，完整、准确，并及时得到分析、反馈与利用。</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查周期内各年度信息报表和信息工作总结。</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按标准统计、分析、数据并且真实完整的，得1分，否则，未按照标准统计、分析、编码的扣0.5分，数据不准、完整、真实的扣0.5分。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4.电子病历系统应用水平达到4级以上。</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查阅文件。</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电子病历系统达到4级及以上的，得0.5分，否则不得分。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3"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（三）财务管理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1.严格执行国家颁发的财务制度，加强财经纪律，无重大违反财经制度事件发生。</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咨询审计等相关部门，查年度财务计划及结算报告，以及周期内被上级及相关管理部门处罚情况。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严格执行国家颁发的财务制度且无重大违反财经制度事件发生的，得1分，否则按以下情形扣分：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①财务制度每缺1项，扣0.3分；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②有重大违反财务制度事件发生的（以卫生行政部门、审计部门、财政部门等有关部门通报为准），不得分。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73"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2.严格执行收费标准，医疗服务项目主动公开、公开医保支付目录，执行住院费用清单制度。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查医院收费公布和收费查询情况，并抽查50张以上门诊和10份住院病历的收费情况。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严格执行收费标准的，医疗服务项目主动公开、公开医保支付目录，执行住院费用清单制度，得2分，否则按以下情形扣分：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①医疗服务项目收费标准和医保支付目录不公开扣0.5分；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②抽查病历收费情况，发现1例收费不符标准扣0.1分；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③不设收费查询系统扣0.5分；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④不提供患者住院清单扣0.3分。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（四）安全管理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1.有健全的医院安全保卫管理组织、制度、措施和定期检查评价。</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查组织机构、相关文件和记录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有健全的医院安全保卫管理组织、制度、措施并定期检查评价的，得1分，否则按以下情形扣分：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①缺管理组织的，扣0.3分；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②缺制度的，扣0.3分；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③缺措施的，扣0.3分；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④缺定期检查评价的，扣0.1分。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2.易发生危险的设备及部门有特殊的管理措施，如高压力系统、高压氧舱、氧气供应室、危险品仓库、同位素室、配电室、手术室、细菌室等。</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查相关管理制度、措施、记录。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有完整的危险设备及特殊部门管理措施的，得1分，否则按以下情形扣分：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①缺制度措施扣0.5分；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②制度不健全扣0.2分；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③无相应管理记录的扣0.5分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3.消防设备齐全，标志醒目，设备状况良好，定期检查更换，使用方便，安全疏散路线畅通，有消防相关的检测合格证书。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现场检查并查验证书。</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消防设备齐全、标志醒目，设备状况良好，安全疏散路线畅通且有消防检测合格证书的，得1分，否则按以下情形扣分：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①消防设备不齐的，扣0.3分；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②安全疏散路线有阻碍的，扣0.3分；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③无检测合格证书的，扣0.8分。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4.严格执行医疗用毒性药品、麻醉药品、精神药品、放射性药品管理制度，做到专人负责、专柜加锁、专用账册、专用处方、专册登记；无毒麻药品丢失现象。</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查管理制度、使用情况及其记录。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有毒麻、精神药品、放射性药品管理制度且专人负责、专柜加锁、专用账册、专用处方、专册登记，无药品丢失情况的，得2分；否则按以下情形扣分：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管理制度、专人负责、专柜加锁、专用账册、专用处方、专册登记，缺1项扣0.3分；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1"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（五）环境管理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1.执行《无烟医疗卫生机构标准（试行）》、院区保持清洁干净，道路硬化，环境舒适。</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检查院内环境卫生情况。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有禁烟标识且院区清洁干净、道路安全、环境舒适的，得1分，否则按以下情形扣分，扣完为止：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①无禁烟标识的，扣0.5分；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②院区卫生差乱、环境不舒适的，扣0.2分；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③院区道路有安全隐患的，扣0.1分。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7"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2.按照《医疗废物管理条例》等要求，规范处理医疗废物与污水。健全污水、污物、放射性物质等管理制度，医疗废物处理和污水排放符合有关规定。</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查阅相关制度、检测记录，并现场检查</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符合《医疗废物管理条例》等要求的，得1.5分，否则按以下情形扣分，扣完为止：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①无医疗废物（包括污水处理）管理制度与处理规范，扣1分；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②医疗废物处理不符合规定，存在收集、打包、运送、交接、贮存、记录等不规范，每项扣0.3分；未签署医疗废弃物处理合同扣0.5分；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③医疗废弃物暂存站或（处）设置不符合要求，扣0.5分。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④污水排放不符合规定的，扣0.5分；未提供环保部定期出具的污水监测合格报告，扣0.5分；污水监测资料不完整，一处扣0.2分。扣完为止。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24" w:hRule="atLeast"/>
          <w:jc w:val="center"/>
        </w:trPr>
        <w:tc>
          <w:tcPr>
            <w:tcW w:w="3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（一）制度（2分）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2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按照《医疗质量管理办法》要求，应成立医疗质量管理专门部门，负责本机构的医疗质量管理工作，设置医疗质量管理委员会，制定医疗管理制度；按照《医疗技术临床应用管理办法》要求，医疗机构医疗质量管理委员会应当下设医疗技术临床应用管理的专门组织，制定医疗技术临床应用管理制度、临床应用论证制度、临床应用评估制度；根据《医疗机构门诊质量管理暂行规定》，需明确负责门诊日常管理工作的部门，建立门诊质量管理制度；根据医院其他工作需要设立相应管理委员会及建立相关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2.根据《医疗机构投诉管理办法》要求，二级以上医疗机构应当设置医患关系办公室或者指定部门（以下统称投诉管理部门）统一承担投诉管理工作，建立医疗机构、投诉管理部门、科室三级投诉管理机制；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3.建立健全本机构医疗文书管理制度；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4.根据《涉及人的生命科学和医学研究伦理审查办法》要求，开展涉及人的生命科学和医学研究的二级以上医疗机构应当设立伦理审查委员会。</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查阅相关制度、组织设置文件</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①未成立医疗质量管理部门，设置医疗质量管理委员会，制定医疗管理相关制度的，扣0.5分，未设置医疗技术临床应用管理组织的，扣0.2分，未设置门诊日常管理工作部门的，扣0.2分；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②未落实投诉管理组织建设，明确部门的，扣0.5分；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③未建立健全本机构医疗文书管理制度的，扣0.5分；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④开展涉及人的生命科学和医学研究未设立伦理委员会的，扣0.1分。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（二）人员结构</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临床科室主要负责人应具备副高级以上专业技术职务任职资格，内科、骨伤科、妇科、儿科等科室负责人应当从事相关专业工作5年以上的中医类别执业医师或经过2年以上中医药知识和技能系统培训的临床类别医师。</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抽查5个科室负责人资质证明</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科室负责人符合资质要求的，得2分，否则一人不符合扣0.2分，扣完为止。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2.临床科室（口腔、麻醉科除外）医师中中医类别执业医师（含西学中人员）占执业医师总数比例是否≥60％。</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抽查3个临床科室人员资质</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抽查科室中医类别执业医师（含西学中人员）占本科室比例≥60%的，得2分，否则一个科室不符合扣0.3分，扣完为止。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中西医结合医院和中西医结合骨科医院至少有40％为中西医结合医师或中医医师（含西学中人员），得2分，否则一个科室不符合扣0.3分，扣完为止。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79"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3.临床科室医师均应接受过中医培训，熟悉专科的基本理论、基础知识和基本操作技能。</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抽查5个科室培训记录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临床科室医师接受过中医培训的，得2分；否则一个科室不符的扣0.5分，扣完为止。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（三）诊疗技术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1.汇编病种诊疗指南、操作规程，建立、实施、评估和改进流程。技术应用符合医院感染控制、医疗质量控制规范，定期考核、评估。</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抽查5个科室诊疗常规、操作规程、技术目录等</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科室汇编有诊疗指南、操作规程、技术目录的，得2分；否则按以下情形扣分：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①材料缺一项扣0.1分/科，扣完为止；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②无相关材料扣0.2分/科，扣完为止。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2.制定中医诊疗技术方案、操作规程，探索中医新技术、新方法，总结简便易行、安全有效的诊疗技术。</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查阅评审周期相关资料，并抽查2个科室6个临床诊疗方案</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科室制定有中医诊疗技术方案、操作规程的，得2分，否则按以下情形扣分：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①缺一项扣0.4分/科，扣完为止；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②无相关材料扣0.4分/科，扣完为止。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3.严格执行《中医病历书写基本规范》和《中医电子病历基本规范（试行）》，中药处方格式及书写符合相关规定。</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随机抽取5个临床科室病案10份，中药处方30张。</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病历书写、中药处方开具符合相关规定无误的，得2分，否则按以下情形扣分：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①病历书写不符合书写规范一例扣0.2分，扣完为止；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②处方书写不规范一例扣0.1分，扣完为止。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71"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（8分）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1.严格执行确保医疗质量和医疗安全的核心制度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（1）首诊负责制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（2）三级医师查房制度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（3）疑难病例讨论制度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（4）会诊制度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（5）急危重患者抢救制度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（6）手术分级管理制度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（7）术前讨论制度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（8）死亡病例讨论制度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（9）值班和交接班制度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（10）查对制度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（11）病历管理制度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（12）临床用血审核制度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（13）分级护理制度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（14）手术安全核查制度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（15）新技术和新项目准入制度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（16）危急值报告制度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（17）抗菌药物分级管理制度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（18）信息安全管理制度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抽查5个科室病历（疑难病例讨论、死亡病例讨论、交接登记、危重病人抢救登记、会诊登记、危急值登记）；现场检查核心制度执行状况。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落实18项核心制度，科室记录完整，得5分；每发现1项核心制度不落实扣0.5分，扣完为止。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53"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2.实施院科两级质量管理，院科二级质控组织健全、职责明确、运行记录完善，医院领导参加医疗质量管理。工作制度健全、工作记录规范可信。</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查阅院科二级资料，要求院科二级质控组织人员落实、责任明确、质控工作记录规范可信</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查看院级科级质量管理制度、工作记录，制度、工作记录完整的，得1分，否则按以下情形扣分：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①无制度或记录扣0.2分，无材料扣0.5分；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②抽查2个科室质量管理材料，材料不全扣0.1分/科，无材料扣0.2分/科</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7"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查阅相关制度流程及总结分析记录。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有不良事件管理制度并制定流程、定期总结、分析原因、及时上报的，得2分，否则按以下情形扣分：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①无制度流程扣0.5分；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②无定期总结分析扣0.5分；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③有重大不良事件及突发公共卫生事件瞒报情况不得分。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（五）手术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抽查限制类技术手术备案情况，备案与手术分级相符得1.5分，否则扣0.5分/人，违背伦理或者伦理论证不合格开展的手术扣0.5分/例，开展禁止类手术不得分。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（六）麻醉</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制定麻醉医师资格分级授权管理制度与规范，以及定期能力评价与再授权的机制，麻醉人员配备合理。</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抽查3名麻醉医师授权材料，符合要求的得1.5分，否则扣0.5分/人</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（一）医院药事管理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是否定期对临床使用中药进行监督、评价和指导，合理遴选医疗机构内使用的中药。</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有药事管理组织并对临床使用中药进行监督、评价和指导，得1分，否则不得分。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（二）药房设置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1.设有中药饮片库房、中药饮片调剂室、中成药库房、中成药调剂室（含与西药房合并建设）、中药煎药室。</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药房设置齐全，得0.3分，否则每少1个部门（组），扣0.1分。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2.中药房应当远离各种污染源，设置中药饮片调剂室、中成药调剂室、中药煎药室应配备有效的通风、除尘、防积水以及消防等设施。</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药房设置符合规范的，得0.4分，否则按以下情形扣分：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①中药房距各种污染源较近，扣0.1分；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②缺少有效的通风、除尘、防积水、消防设施，每少一种扣0.1分，扣完为止。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4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3.中药饮片调剂室面积≥100平方米；中成药调剂室面积≥60平方米。中成药调剂室、中药饮片调剂室面积应当与医院的规模和业务需求相适应。</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各房屋面积符合要求的，得0.3分，否则按以下情形扣分，扣完为止：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①中药饮片调剂室面积&lt;100平方米，扣0.1分；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②中成药调剂室面积&lt;60平方米，扣0.1分；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③中成药、中药饮片调剂室面积与医院的规模和业务需求不相适应，每项扣0.1分。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4.中药房的设备（器具）应当与医院的规模和业务需求相适应。</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设备（器具）与医院的规模和业务需求相适应，得1分，否则不得分。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参考设备（器具）清单：药架（柜、斗、罐）、戥秤（或电子秤、台秤）、冰箱（冷藏柜）、空调、除湿器、打粉机（或捣药盅、铜盅）、药勺、保险柜、煎药锅（或煎药机）及包装设备等。</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5"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（二）药房设置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中药饮片质量验收负责人应为具有中药学中级及以上专业技术职务任职资格和中药饮片鉴别经验的人员或具有丰富中药饮片鉴别经验的老药工。中药饮片调剂复核人员应具有主管中药师及以上专业技术职务任职资格（小包装饮片的复核人员应具有中药师及以上专业技术职务任职资格）。煎药室负责人应具有中药师及以上专业技术职务任职资格，煎药人员应为中药学专业人员或经广西中药药事质控中心培训取得相应资格的人员。</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查阅评审周期的人事档案及相关证明资料。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各相应人员符合规范的，得2分，否则按以下情形扣分：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①中药饮片质量验收负责人不符合要求，扣0.2分；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②中药饮片调剂复核人员不符合要求，扣0.2分；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③煎药室负责人应具不符合要求，扣0.2分；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④煎药人员不符合要求的，扣0.2分/人，扣完为止。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（三）药房管理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1.建立中药饮片采购制度，采购程序符合相关规定，供应商资质齐全并对其定期评估。</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查阅相关资料（如中药饮片采购制度、采购计划、供应商资质档案、评估记录等），实地考察。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无中药采购制度或供应商资质不符合要求，或有伪药及明令禁止购销的产品，或采购制度不完善得0.5分，否则不得分；未发现伪药或对供应商评估记录完整得0.5分，否则不得分。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3"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2.中药饮片验收管理制度健全并落实到位，记录完整。</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查阅中药饮片验收管理资料及评审周期的进货质量验收记录或入库清单。</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中药饮片验收管理制度健全且记录完整的，得0.5分，否则按以下情形扣分：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①无制度或无记录，不得分；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②制度不完善，扣0.1分；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③记录不完整，扣0.1分。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9"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3.中药储存管理规范，有保证质量的管理制度和设施条件，做到定期养护。</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中药储存符合规范、有管理制度、设施条件符合规范、定期养护的，得0.5分，否则按以下情形扣分：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①中药饮片有变质、霉变、生虫、串药等现象或无储存管理规范、制度，不得分；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②设施条件不完善，扣0.1分；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③养护记录不完整，扣0.1分。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14"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4.建立中药饮片处方调剂制度和操作规范，严格处方的审核和调剂复核，调剂复核率100%，每剂重量误差应在±5%以内。严格执行中药饮片处方用名和调剂给付有关规定。</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查阅相关资料，实地考察，并抽查1日中药饮片处方和调剂后的中药饮片处方20剂。</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有中药饮片调剂制度和操作规范，操作符合规定的，得1分，否则按以下情形扣分：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①无饮片调剂制度和操作规范，不得分；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②未按规定审核或无复核签字，每张处方扣0.1分（最多扣0.3分）；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③重量误差不符合要求，每剂扣0.1分（最多扣0.2分）。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（三）药房管理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5.中药制剂的配制管理规范，委托加工的制剂须经相应部门批准，按照相关的规定执行。</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有中药制剂的配置管理规范，各项操作符合规定的，得0.5分，否则按以下情形扣分：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①无制剂配制记录或未经批准委托加工或委托加工批件不符合规定，不得分；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②配制记录不完善，扣0.2分。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6.建立中药安全性监测管理制度和中药不良反应事件报告制度，按规定报告中药不良反应。</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查阅评审周期内相关资料，随机抽查3份归档病历。</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有中药安全性监测管理制度和中药不良反应事件报告制度，按规定报告中药不良反应的，得0.5分，否则按以下情形扣分：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①无制度，或无中药不良反应报告记录，不得分；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②未按照规定上报不良反应，每例扣0.2分，扣完为止。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7.定期开展中药处方评价工作，规范处方（用药医嘱）开具、审核、调配、核发、用药指导等行为。</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查阅评审周期相关资料，并实地核查。随机抽查某日中药饮片处方30张、住院病历5份。</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定期开展中药处方评价工作，规范处方（用药医嘱）开具、审核、调配、核发、用药指导等行为的，得1分，否则不得分。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1"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六、护理（10分）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（一）护理管理组织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1.护理组织管理体系完整，实行院长领导下的护理部主任、科护士长、护士长三级结构管理体系，各层次护理管理岗位职责明确，并体现中医护理管理职能。</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查看相关文件及制度汇编</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护理组织管理体系不完整扣0.1分，岗位职责未汇编成册或不完整扣0.1分。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2.建立健全护理工作制度、各级各类护理人员岗位职责，并定期修订，汇编成册。</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查年护理部的制度汇编</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未汇编成册或不全面扣0.05分，未定期修订扣0.05分。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3.制定符合本院实际的中医护理常规、护理技术操作规程、护理应急预案、关键环节服务流程等，并定期修订，汇编成册。</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查看相关文件资料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未汇编成册或不全面扣0.05分，未定期修订扣0.05分。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六、护理（10分）</w:t>
            </w: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（二）护理人力资源</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1.中医药院校毕业或中医护理专业毕业的护士比例不低于40%（非中医专业毕业的护士系统接受中医药知识与技能培训三年内达到100学时的护士可纳入此数据统计）</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查阅全院中医药院校毕业或中医护理专业毕业护士名单等相关资料；查阅护理部及病区培训计划及相关证明材料。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护士比例每低于标准1个百分点扣0.1分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2.制定有各级各类护理人员的培训计划并组织实施。</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查阅护理部及病区培训计划及相关证明材料。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无培训计划扣0.05分；未组织实施扣0.05分；计划内涵不足或实施证明材料不全分别扣0.01分。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3.各级各类护理人员知晓岗位职责。</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提问不同类别的护理人员</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完全不知晓每名扣0.02分，知晓不全每名扣0.01分。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（三）护理质量管理。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1.设立护理质量管理委员会，组织开展护理质量评价工作。</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查阅文件及护理质量管理工作计划及评价过程证明材料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无护理质量管理委员会扣0.01分；未开展护理质量评价工作扣0.02分；护理质量评价工作开展不科学不规范扣0.01分。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2.严格落实医疗核心制度（护理相关），确保患者安全。</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查阅护理文书、护理不良事件报告及各类护理管理记录资料；现场查各项制度的落实情况。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未落实一项制度扣0.01分，直到扣完此条目总分。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1"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开展与医院功能相匹配的中医特色护理服务，满足患者对中医药服务的需求。全院开展中医护理技术项目数不低于10项。护士掌握疾病护理常规及护理技术操作规程，能提供具有中医特色的健康教育和康复指导。</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查阅HIS系统中统计的中医护理技术的总项目数；现场查看科室患者的护理常规落实情况；抽考护士中医护理技术操作。</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全院未达到10项，每少一项扣0.01分；护理常规未落实扣0.01分；护士操作考核不合格扣0.01分。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（一）设置（1分）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查阅相关资料并实地考察。抽查临检、微生物、免疫、生化等专业项目，现场查看，抽查检验报告</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临床检验部门设置符合规范、服务能力符合要求的，得1分，否则按以下情况扣分，扣完为止：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①实验室设置必须符合生物安全规范，满足且完成生物安全Ⅱ级防护实验室备案，未备案扣1分；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②实验室未集中设置、统一管理扣0.1分；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③微生物室未定期为临床提供耐药菌的药物敏感性报告，扣0.1分；未定期（至少半年一次）公布常见分离细菌株及其药敏情况，扣0.1分；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④不能提供24小时急诊检验服务，扣0.1分；检验报告时间不符合要求，每项扣0.1分。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⑤检验技术人员依规持证上岗，检验仪器设备、试剂三证齐全，在有效期内使用；检验项目及方法学设置符合卫生行政部门规范。发现不符扣0.1分。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检验科必须建立室内控制体系，并参加国家卫健委临床检验中心或广西壮族自治区临床检验中心的室间质评活动（三级医院检验科参加国家卫健委临床检验中心室间质评，一、二级医院检验科参加自治区临床检验中心室间质评）。无室内质控或未参加相应室间质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（二）人员（1分）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由具备临床检验专业资质的人员进行临床检验活动，解释检查结果。</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人员资质符合要求的，得1分，否则按以下情形扣分，扣完为止：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①资质不符合要求，每人扣0.2分；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②分子生物学实验室、HIV初筛实验室及签发HIV初筛报告检验人员无上岗证，每人扣0.2；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③无具有相关资质的专业人员负责结果解释工作，扣0.2分。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（三）规章制度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有实验室安全流程，制度及相应的标准操作流程，检查报告审核制度、质量与安全管理制度等。</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①无实验室安全流程，扣0.1分；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②无制度及相应的标准操作流程，扣0.1分；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③无检查报告审核制度，扣0.1分；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④无质量与安全管理制度的，扣0.1分。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8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（四）检验质量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（0.6分）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检验报告及时、准确、规范，严格审核制度。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随机查阅检验报告，现场考核检验人员操作及报告准确度。抽查10份检验报告单（覆盖血液、体液、生化、免疫、微生物、分子等专业）。</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检验报告及时、准确、规范，严格审核制度的，得0.6分，否则按以下情形扣分：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①无校准验证、能力验证、室内质控或室间质评制度，少一项扣0.1分；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②报告格式不规范，每份扣0.02分；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③检验报告单未执行双签字（急诊除外），每份扣0.02分。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（五）设置（1分）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独立设置病理科建设符合要求、服务项目能满足诊疗需要、人员符合要求、诊断质量符合标准的，委托第三方开展病理检查的协议内容体现病理开展有关条件，得1分，否则按以下情形扣分：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①设置布局不合理、不符合生物安全要求，每项扣0.05分。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②服务项目不能满足临床需要，扣0.05分。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③人员配备不能满足工作需要，扣0.01分；报告医师不符合要求，每人扣0.02分；其他人员未经培训，每人扣0.01分；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④委托第三方开展病理检查未签署委托服务协议，不得分；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4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输血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（六）设置（1分）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落实《中华人民共和国献血法》《医疗机构临床用血管理办法（试行）》和《临床输血技术规范》等有关法律和规范，制定输血管理制度，并落实。</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查阅相关资料，实地考察，抽查5份运行或归档的输血病历。抽查1名医务人员。</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有相关输血管理制度并落实，临床用血符合相关管理规定的，得1分，否则按以下情形扣分：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①无相关制度和实施细则，扣0.1分，内容未涵盖全过程，扣0.02分。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②对医务人员未进行相关培训，扣0.1分。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③无用血计划，扣0.02分；无分级管理制度，扣0.02分；未定期进行用血评价及公示，扣0.02分。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④未进行血型及感染筛查（肝功能、乙肝五项、HCV、HIV、梅毒抗体）的相关检测，每份扣0.03分；未签署“输血治疗知情同意书”，每份扣0.03分。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⑤无输血适应症管理规定，不得分；无用血后效果评价管理要求及评价，不得分；医院无输血指征综合评估的指标，扣0.05分。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⑥无自体输血、围手术期血液保护等输血技术管理制度，不得分。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4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影像医学（七）设置（1分）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医学影像（普通放射、CT、MRl、超声、核素成像等）部门设置、布局、设备设施符合《放射诊疗管理规定》，通过医疗机构执业诊疗科目许可登记，取得《放射诊疗许可证》，服务满足临床需要。</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现场查看</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医学影像部门设置、布局、设备设施符合《放射诊疗管理规定》，通过医疗机构执业诊疗科目许可登记，取得《放射诊疗许可证》，服务满足临床需要的，得1分，否则按以下情形扣分：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①未取得《放射诊疗许可证》，或《许可证》诊疗项目与诊疗服务不符合，不得分；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②X线影像、超声检查、CT不能提供24小时急诊（包括床边急诊）检查服务，每项扣0.1分。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影像医学（八）执业（1分）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按规定办理《放射诊疗许可证》。</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核查医疗机构的放射诊疗设备情况。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按规定办理《放射诊疗许可证》的，得1分，否则按以下情形扣分，扣完为止：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①使用放射诊疗设备但未办理《放射诊疗许可证》或未按期申请《放射诊疗许可证》校验，扣1分。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②使用的放射诊疗设备未登记的，每台扣0.1分。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③登记的放射诊疗设备及其工作场所未按规定进行年度防护、性能检测的，每台设备或场所扣0.1分。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6"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影像医学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（九）人员（1分）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由具备医学影像专业资质的人员进行医学影像检查活动，出具检查报告人员应具备执业医师资质。</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工作人员资质符合相关规定的，得1分，每发现1人资质不合格扣0.2分，扣完为止。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2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影像医学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（十）规章制度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规章制度健全，有岗位职责、技术操作规范、质量控制制度、医学影像诊断报告审核制度、医学影像设备定期监测制度、环境保护、受检者防护及工作人员职业健康防护等相关制度；制定放射安全事件应急预案，有必要的紧急意外抢救药品器材，相关人员具备紧急抢救能力，有与临床科室紧急呼救与支援的机制与流程。</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规章制度健全的得1分，否则按以下情形扣分：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①无规章制度和技术操作规范，不得分；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②未制定质控指标，扣0.1分。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③未开展设备年度安全检查，或无定期校正和维护记录，扣0.1分；设备运行完好率＜95%，扣0.05分。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④未对受检者敏感器官和组织进行屏蔽防护，扣0.1分；未给工作人员提供完整的放射防护器材与个人防护用品，扣0.1分：未为影像科人员佩戴个人放射剂量计，扣0.1分；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⑤科室无紧急意外抢救预案，扣0.1分；缺少必要的紧急意外抢救药品器材，扣0.1分；无与临床科室紧急呼救与支援的机制与流程，扣0.05分。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jc w:val="center"/>
        </w:trPr>
        <w:tc>
          <w:tcPr>
            <w:tcW w:w="36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影像医学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（十一）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检查报告及时、准确、规范，严格审核制度。</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抽查评审周期X线影像、超声检查、CT（MRI）或核素成像各5份报告。</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检查报告及时、准确、规范，严格执行审核制度的，得1分，否则按以下情形扣分：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①出具报告医师资质、报告时间、报告流程不符合要求，每发现一处扣0.05分。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②未执行审核制度，每份扣0.05分。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③无质量评价，或未确立质量指标，扣0.03分。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0"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根据《医院感染管理办法》建立健全三级医院感染管理组织体系，职责明确；院感专职人员配备应符合《医院感染监测标准》要求。</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查看相关资料（人员配备查看人事科资料）。</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①未按要求建立管理组织体系，扣1分；院感委员会成立无正式印发文件，扣0.5分；无各级组织工作职责，扣0.5分；无院感委员会会议记录，扣0.3分；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②未配备院感专职人员，扣1分；按每 150～200 张实际使用病床至少配备1名医院感染管理专职人员，每少一人扣0.2分；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③医院感染管理部门负责人不具有副高级及以上专业技术职务任职资格，扣0.5分。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0"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（二）管理制度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医院应按《医疗机构感染预防与控制基本制度（试行）》《中医技术相关性感染预防与控制指南 （试行）》等要求，建立适合本院实际情况的医院感染预防与控制制度、工作流程，并根据最新要求及时修订。</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查看医院感染基本制度、工作流程。</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制定感控分级管理、监测及报告、标准预防措施（手卫生）执行管理、感控风险评估、多重耐药菌感染预防与控制、侵入性器械/操作相关感染防控、培训教育、医院感染暴发报告及处置、医务人员感染性病原体职业暴露预防与处置、医疗机构内传染病相关感染预防与控制、中医技术相关性感染预防与控制制度，每缺一项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②抽查制度或工作流程，发现与医院实际情况不符，扣0.2分/项，扣完为止。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FF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0"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（三）人员培训及考核（2分）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照《医院感染管理专业人员培训指南》《病区医院感染管理规范》等要求，每年开展院感专职人员和院科两级医院感染防控相关知识培训，院感专职人员每年接受医院感染继续教育或培训，具有相应实际工作能力；医务人员能正确掌握医院感染防控知识。</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查看培训计划与记录等相关资料，现场访谈工作人员</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①院感专职人员未每年参加市级及以上医院感染继续教育或培训，扣0.1分/人；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②未制定院科两级培训考核计划并实施，扣1分；未开展院级培训考核，扣0.5分；未开展科级培训考核，扣0.1分/科。</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3" w:hRule="atLeast"/>
          <w:jc w:val="center"/>
        </w:trPr>
        <w:tc>
          <w:tcPr>
            <w:tcW w:w="367"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（四）医院感染监测与质控管理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查阅监测计划、监测记录、监测总结、分析等</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①未开展监测工作，不得分；全院性综合监测、目标性监测、消毒灭菌效果监测，监测项目不全，缺一项扣0.3分；无持续改进，扣0.3分/项；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②发生医院感染暴发未报告不得分；发生疑似医院感染暴发或聚集事件未进行调查和处置，无记录，扣1分/次；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③未开展院科两级医院感染质控管理，扣1分；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④未做到每季度将监测数据在全院发布，扣0.5分。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35"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（五）消毒隔离防护措施与重点部门管理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根据《传染病防治法》《医疗机构消毒技术规范》《医院隔离技术标准》《中医技术相关性感染预防与控制指南 （试行）》《医院消毒供应中心管理规范》《多重耐药菌医院感染预防与控制技术指南（试行）》等要求，落实消毒隔离防护措施和专科感染防控措施。感染性疾病科、手术室、消毒供应室、新生儿科、血液透析室、重症医学科、产科、介入手术室、口腔科、内镜室、急诊科、检验科、放射科的布局流程及运行管理符合相关院感要求。</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抽查2～3个医院感染重点部门和1个普通临床科室（消毒供应室必查）</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①标准预防措施或专科感染防控措施落实欠规范，扣0.2分/处；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②各类医疗器械、医疗用品的消毒、灭菌方式方法不符合要求，扣0.2分/处；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③未对疑似/确诊的传染病患者或多重耐药菌感染/定植患者采取有效消毒隔离措施，扣0.3分/例；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④重点部门建筑布局流程不合理，扣0.3分/部门；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⑤重点部门未建立与本科室相关感染防控制度扣0.2分/部门，扣完为止。</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8" w:hRule="atLeast"/>
          <w:jc w:val="center"/>
        </w:trPr>
        <w:tc>
          <w:tcPr>
            <w:tcW w:w="367"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（六）手卫生</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根据《医务人员手卫生规范》，将手卫生纳入医院医疗质量考核；开展手卫生知识与技能培训、手卫生依从性及消毒效果监测；手卫生设施设置齐全，符合要求。</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查看制度、培训记录、监测记录等资料，抽查2个临床科室，1-3名医务人员</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①未将手卫生纳入院科两级监测和医院医疗质量考核，扣0.2分/项/级或科；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②手卫生设施配备不符合标准，扣0.2分/项。</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9" w:hRule="atLeast"/>
          <w:jc w:val="center"/>
        </w:trPr>
        <w:tc>
          <w:tcPr>
            <w:tcW w:w="367"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41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（七）信息化建设</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（0.5分）</w:t>
            </w:r>
          </w:p>
        </w:tc>
        <w:tc>
          <w:tcPr>
            <w:tcW w:w="145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三级中医医院应至少配备医院感染病例实时监测系统、消毒供应室追溯系统。</w:t>
            </w:r>
          </w:p>
        </w:tc>
        <w:tc>
          <w:tcPr>
            <w:tcW w:w="617"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实地查看信息系统配置、使用、维护情况</w:t>
            </w:r>
          </w:p>
        </w:tc>
        <w:tc>
          <w:tcPr>
            <w:tcW w:w="174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①未配备医院感染病例监测系统，扣0.3分；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②未配备消毒供应室追溯系统，扣0.2分。</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360" w:firstLineChars="20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1" w:hRule="atLeast"/>
          <w:jc w:val="center"/>
        </w:trPr>
        <w:tc>
          <w:tcPr>
            <w:tcW w:w="4599"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总计</w:t>
            </w:r>
          </w:p>
        </w:tc>
        <w:tc>
          <w:tcPr>
            <w:tcW w:w="4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r>
    </w:tbl>
    <w:p>
      <w:pPr>
        <w:pStyle w:val="2"/>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附件2</w:t>
      </w:r>
    </w:p>
    <w:p>
      <w:pPr>
        <w:rPr>
          <w:rFonts w:hint="eastAsia"/>
          <w:lang w:val="en-US" w:eastAsia="zh-CN"/>
        </w:rPr>
      </w:pPr>
    </w:p>
    <w:p>
      <w:pPr>
        <w:pStyle w:val="2"/>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二级中医医疗机构执业校验评分细则（试行）</w:t>
      </w:r>
    </w:p>
    <w:p>
      <w:pPr>
        <w:rPr>
          <w:rFonts w:hint="eastAsia"/>
          <w:lang w:val="en-US" w:eastAsia="zh-CN"/>
        </w:rPr>
      </w:pPr>
    </w:p>
    <w:tbl>
      <w:tblPr>
        <w:tblStyle w:val="10"/>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09"/>
        <w:gridCol w:w="1296"/>
        <w:gridCol w:w="4179"/>
        <w:gridCol w:w="1936"/>
        <w:gridCol w:w="4828"/>
        <w:gridCol w:w="5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blHeader/>
        </w:trPr>
        <w:tc>
          <w:tcPr>
            <w:tcW w:w="3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审查项目</w:t>
            </w:r>
          </w:p>
        </w:tc>
        <w:tc>
          <w:tcPr>
            <w:tcW w:w="1965"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审查内容</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审查方法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评分标准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000000"/>
                <w:kern w:val="0"/>
                <w:sz w:val="18"/>
                <w:szCs w:val="18"/>
                <w:u w:val="none"/>
                <w:lang w:val="en-US" w:eastAsia="zh-CN" w:bidi="ar"/>
              </w:rPr>
            </w:pPr>
            <w:r>
              <w:rPr>
                <w:rFonts w:hint="eastAsia" w:ascii="黑体" w:hAnsi="黑体" w:eastAsia="黑体" w:cs="黑体"/>
                <w:i w:val="0"/>
                <w:iCs w:val="0"/>
                <w:color w:val="000000"/>
                <w:kern w:val="0"/>
                <w:sz w:val="18"/>
                <w:szCs w:val="18"/>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★床位（牙椅）编制配置：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①中医（民族医）医院住院床位总数≧80张。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②中西医结合医院住院床位总数≥100张。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③中西医结合骨科医院床位总数≧100张（其中骨科专业床位占比≧60%）。</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查看批文、医疗机构执业许可证</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★【一票否决】床位（牙椅）编制床位配置不符合配置要求的。</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科室设置</w:t>
            </w:r>
          </w:p>
        </w:tc>
        <w:tc>
          <w:tcPr>
            <w:tcW w:w="1500"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★1.中医医院、民族医医院：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①临床科室设置：至少设中医内科、外科等五个以上中医一级临床科室；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②医技科室：至少设有药剂科、检验科、放射科等医技科室。</w:t>
            </w:r>
          </w:p>
        </w:tc>
        <w:tc>
          <w:tcPr>
            <w:tcW w:w="69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现场考查科室设置，查阅资料。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★【一票否决】①临床科室设置：至少设中医内科、外科等五个以上中医一级临床科室；</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69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★【一票否决】②医技科室：至少设有药剂科、检验科、放射科等医技科室。</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★2.中西医结合医院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①临床科室设置：至少设有六个中西医结合一级临床科室；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②医技科室：至少设有药剂科、检验科、放射科等医技科室；</w:t>
            </w:r>
          </w:p>
        </w:tc>
        <w:tc>
          <w:tcPr>
            <w:tcW w:w="69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现场考查科室设置，查阅资料。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★【一票否决】①临床科室设置：至少设有六个中西医结合一级临床科室；</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69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★【一票否决】②医技科室：至少设有药剂科、检验科、放射科等医技科室；</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★3.中西医结合骨科医院：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①临床科室：至少设有骨伤科、内科、针灸科、推拿科、治未病；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②医技科室：至少设有药剂科、放射科、检验科等相应的临床功能检查室。</w:t>
            </w:r>
          </w:p>
        </w:tc>
        <w:tc>
          <w:tcPr>
            <w:tcW w:w="69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现场考查科室设置，查阅资料。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★【一票否决】①临床科室：至少设有骨伤科、内科、针灸科、推拿科、治未病；</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69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★【一票否决】②医技科室：至少设有药剂科、放射科、检验科等相应的临床功能检查室。</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63"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人员配备</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★人员配备：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★1.中医医院、民族医医院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①每床至少配有0.88名卫生技术人员；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②每床至少配有0.3名护士；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③中医药人员（含西学中）占卫生技术人员总数的比例不低于60％，口腔、麻醉等特殊科室除外；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④至少有4名具有主治医师及以上职称的中医师、2名中药师和相应的药剂、检验、放射等技术人员。各临床科室至少有1名中医师。</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93"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★2.中西医结合医院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①每床至少配有0.98名卫生技术人员；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②每床至少配有0.35名护士；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③中医药人员（含西学中）占卫生技术人员总数的比例不低于50％，口腔、麻醉等特殊科室除外；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④至少有3名具有副主任医师及以上职称的医师，其中至少有1名副主任医师以上职称的中西医结合医师；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⑤各专业科室至少有1名具有主治医师以上职称的医师；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⑥至少有1名主管药师和1名中药师及相应的检验、放射等技术人员。</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5"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★3.中西医结合骨科医院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①每床至少配有0.88名卫生技术人员；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②每床至少配有0.3名护士；</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③中医药人员（含西学中）占卫生技术人员总数的比例不低于50％，口腔、麻醉等特殊科室除外；</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④至少有4名具有主治医师及以上职称的中医师、1名中药师和相应的药剂、检验、放射等技术人员。各临床科室至少有1名中医师。</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核查人员花名册、排班表等，查看人员的学历证书、执业证书、职称证书等。</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★【一票否决】此处不设分值</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房屋面积</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★医疗机构用房不能满足诊疗服务功能，每床建筑面积低于35 m²，一票否决。</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核查医疗机构业务用房面积、每床净使用面积、日平均每门诊人次占门诊建筑面积等。核查相应科室的建筑面积或使用面积。</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★【一票否决】每床建筑面积&lt;35平方米。</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基本标准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设备配备</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★临床科室、医技科室、中药房的基本设备、病房每床单元设备、与开展的诊疗科目相应的其他设备能够满足诊疗活动的需要，达到国家中医药管理局《中医医院医疗设备配置标准（试行）》。</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按照《二级中医医院医疗设备配置标准》，核查临床科室、医技科室、中药房设备是否符合要求。</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现场查看设备，抽查设备清单、购置票据或设备卡片、设备档案等。使用先进设备应包含基本功能。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★【一票否决】基本设备（功能）缺失。</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消毒供应、医学检验或病理检查与其他合法机构签订相关服务合同，并由其提供服务的，在满足急诊工作需要的基础上可不配备消毒供应和部分检验、病理检查设备。</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医院管理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安全管理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★严格执行医疗用毒性药品、麻醉药品、精神药品、放射性药品管理制度，做到专人负责、专柜加锁、专用账册、专用处方、专册登记；无毒麻药品丢失现象。</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查管理制度、使用情况及其记录。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★【一票否决】未按规范管理造成毒麻药品丢失的，一票否决。</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52"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一、基本</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标准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（一）床位</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床位（牙椅）编制配置：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①中医（民族医）医院住院床位总数≧80张。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②中西医结合医院住院床位总数≥100张。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③中西医结合骨科医院床位总数≧100张（其中骨科专业床位占比≧60%）。</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查看批文、医疗机构执业许可证</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实际开放床位数与申请登记（核准）床位数按以下情形计分：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①-5%&lt;（实际开放床位数－登记（核准）床位数）/登记（核准）&lt;5%，得3分；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②（实际开放床位数－登记（核准）床位数）/登记（核准）≥10%或≤-10%时，得②4分；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③（实际开放床位数－登记（核准）床位数）/登记（核准）≥20%或≤-20%时，得①8分；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④（实际开放床位数－登记（核准）床位数）/登记（核准）≥30%或≤-30%时，得①2分；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⑤（实际开放床位数－登记（核准）床位数）/登记（核准）≥40%或≤-40%时，得0分。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1"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（二）房屋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面积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医疗机构用房不能满足诊疗服务功能，每床建筑面积低于35 m²，一票否决。</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核查医疗机构业务用房面积、每床净使用面积、日平均每门诊人次占门诊建筑面积等。核查相应科室的建筑面积或使用面积。</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按实际申报床位（牙椅）数计算，每床建筑面积：≥35平方米的，得3分；每少10平方米扣0.1分。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40" w:hRule="atLeast"/>
        </w:trPr>
        <w:tc>
          <w:tcPr>
            <w:tcW w:w="3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一、基本</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标准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（三）规章制度（4分）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制订各项规章制度、人员岗位责任制，有国家制定或认可的医疗护理技术操作规程，应急管理规定，并成册可用。</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查阅相关制度及有关医疗护理技术操作规范、常规等资料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①有人员岗位职责明确得0.4分，否则不得分；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②有国家制定或认可的医疗技术操作规程、诊疗规范、管理规定齐全并装订成册的（详见目录1）（补目录及审查方法），得1分，每少1项扣0.1分，扣完为止；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③有国家制定或认可的护理技术操作规程、诊疗规范、管理规定齐全并装订成册的，得1分，每少1个技术的扣0.1分，扣完为止；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④有应急、消防、行风管理规定齐全并装订成册的，得0.6分，每一项有缺漏的扣0.2分，扣完为止。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398"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二、依法</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（二）依法</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1.医疗机构应按期申请执业校验。</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核查医疗机构是否按期申请执业校验。</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①在校验期满前1—3个月申请执业校验的，得1分。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②在校验期满后申请执业校验的，得0分。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60" w:hRule="atLeast"/>
        </w:trPr>
        <w:tc>
          <w:tcPr>
            <w:tcW w:w="398"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2.不良执业行为记分情况。</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核查医疗机构校验周期内的不良执业行为记分情况。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校验周期内无医疗机构不良执业行为扣分的，得2分，否则按以下情形计分：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①校验期内不良执业行为记分＜4分的，得1.5分；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②校验期内不良执业行为记分≥4且＜8分的，得1分；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③校验期内不良执业行为记分≥8且＜12，得0.5分。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6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1.医院应有健全的科学管理体系，医院领导职责分工明确。</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查医院领导正、副职分工文件。</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有领导职责分工相关文件的，得1分，否则不得分。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2.医院实行目标管理，并制定中、长期发展规划和年度计划；做好执行计划的协调、检查、考核与评价。</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查医院发展规划、周期内年度计划和总结，计划完成评价。</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有中、长期发展规划和年度计划的，得1分，否则按以下情形扣分：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①缺中长期规划的，扣0.4分；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②缺年度计划的，扣0.4分；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③未做好执行计划的协调、检查、考核评价的扣0.2分；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④材料全无扣1分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868"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3.完善综合评价体系， 体现中医特点，建立以中医临床疗效为核心、以服务能力与绩效为基础的考核和激励制度。</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随机抽查5个科室考评方案及绩效分配方案</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科室综合考核目标中体现中医药、民族医药特色优势和提高临床疗效指标的，得1分；否则按以下情形扣分：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①指标不具体，或未实施的，扣0.3分；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②部分实施的，扣0.1分；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③未实行绩效工资管理，不得分；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④考核结果未体现在科室分配方案中，每个科扣0.1分；部分体现，每个科室扣0.05分。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（三）信息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1.设立相应的信息管理部门，包括病案室、统计室、图书室等；医院信息（包括医疗、病案统计、财务、人事、药学等信息）实现信息化管理。</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查医院设置文件并现场检查，查信息化实施情况。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相关部门实现信息化管理的，得1分，否则按以下情形扣分：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①缺1个部门，每个扣0.05分；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②未实行信息化管理扣1分。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4"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2.病案及时归档，按自治区卫生行政部门现行要求进行编码，无丢失等现象。</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现场检查病案科（室）、抽查10份以上病案。</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病案及时归档并编码的，得1分，否则按以下情形扣分：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①发现一份病案有缺项的，扣0.1分，扣完为止；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②不按规定编码、无病历归档管理记录不得分。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1"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3.各种统计、分析、编码及信息必须采用国家和部颁标准；数据真实，完整、准确，并及时得到分析、反馈与利用。</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查周期内各年度信息报表和信息工作总结。</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按标准统计、分析、数据并且真实完整的，得1分，否则，未按照标准统计、分析、编码的扣0.5分，数据不准、完整、真实的扣0.5分。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4.电子病历系统应用水平达到3级以上。</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查阅文件。</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电子病历系统达到3级及以上的，得0.5分，否则不得分。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2"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（四）财务</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1.严格执行国家颁发的财务制度，加强财经纪律，无重大违反财经制度事件发生。</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咨询审计等相关部门，查年度财务计划及结算报告，以及周期内被上级及相关管理部门处罚情况。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严格执行国家颁发的财务制度且无重大违反财经制度事件发生的，得1分，否则按以下情形扣分：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①财务制度每缺1项，扣0.3分；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②有重大违反财务制度事件发生的（以卫生行政部门、审计部门、财政部门等有关部门通报为准），不得分。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27"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2.严格执行收费标准，医疗服务项目主动公开、公开医保支付目录，执行住院费用清单制度。</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查医院收费公布和收费查询情况，并抽查50张以上门诊和10份住院病历的收费情况。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严格执行收费标准的，医疗服务项目主动公开、公开医保支付目录，执行住院费用清单制度，得2分，否则按以下情形扣分：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①医疗服务项目收费标准和医保支付目录不公开扣1分；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②抽查病历收费情况，发现1例收费不符标准扣0.2分；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③不提供患者住院清单扣0.3分。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6"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（五）安全管理（5分）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1.有健全的医院安全保卫管理组织、制度、措施和定期检查评价。</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查组织机构、相关文件和记录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有健全的医院安全保卫管理组织、制度、措施并定期检查评价的，得1分，否则按以下情形扣分：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①缺管理组织的，扣0.3分；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②缺制度的，扣0.3分；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③缺措施的，扣0.3分；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④缺定期检查评价的，扣0.1分。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48"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2.易发生危险的设备及部门有特殊的管理措施，如高压力系统、高压氧舱、氧气供应室、危险品仓库、同位素室、配电室、手术室、细菌室等。</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查相关管理制度、措施、记录。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有完整的危险设备及特殊部门管理措施的，得1分，否则按以下情形扣分：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①缺制度措施扣0.5分；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②制度不健全扣0.2分；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③无相应管理记录的扣0.5分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53"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3.消防设备齐全，标志醒目，设备状况良好，定期（明确周期时间，半年、一年）检查更换，使用方便，安全疏散路线畅通，有消防检测合格证书或消防检测合格记录。</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现场检查并查验证书。</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消防设备齐全、标志醒目，设备状况良好，安全疏散路线畅通且有消防检测合格证书或消防检测合格记录的，得1分，否则按以下情形扣分：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①消防设备不齐的，扣0.3分；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②安全疏散路线有阻碍的，扣0.3分；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③无检测合格证书或消防检测合格记录的，扣0.8分。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6"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4.严格执行医疗用毒性药品、麻醉药品、精神药品、放射性药品管理制度，做到专人负责、专柜加锁、专用账册、专用处方、专册登记；无毒麻药品丢失现象。</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查管理制度、使用情况及其记录。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有毒麻、精神药品、放射性药品管理制度且专人负责、专柜加锁、专用账册、专用处方、专册登记，无药品丢失情况的，得2分；否则按以下情形扣分：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管理制度、专人负责、专柜加锁、专用账册、专用处方、专册登记，缺1项扣0.3分；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（六）环境</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1.执行《无烟医疗卫生机构标准（试行）》、院区保持清洁干净，道路硬化，环境舒适。</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检查院内环境卫生情况。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有禁烟标识且院区清洁干净、道路安全、环境舒适的，得1分，否则按以下情形扣分，扣完为止：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①无禁烟标识的，扣0.5分；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②院区卫生差乱、环境不舒适的，扣0.2分；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③院区道路有安全隐患的，扣0.1分。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0" w:hRule="atLeast"/>
        </w:trPr>
        <w:tc>
          <w:tcPr>
            <w:tcW w:w="3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（17分）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（六）环境</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2.按照《医疗废物管理条例》等要求，规范处理医疗废物与污水。健全污水、污物、放射性物质等管理制度，医疗废物处理和污水排放符合有关规定。</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查阅相关制度、检测记录，并现场检查</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符合《医疗废物管理条例》等要求的，得1.5分，否则按以下情形扣分，扣完为止：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①无医疗废物（包括污水处理）管理制度与处理规范，扣1分；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②医疗废物处理不符合规定，存在收集、打包、运送、交接、贮存、记录等不规范，每项扣0.3分；未签署医疗废弃物处理合同扣0.5分；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③医疗废弃物暂存站或（处）设置不符合要求，扣0.5分。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④污水排放不符合规定的，扣0.5分；未提供环保部定期出具的污水监测合格报告，扣0.5分；污水监测资料不完整，一处扣0.2分。扣完为止。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0" w:hRule="atLeast"/>
        </w:trPr>
        <w:tc>
          <w:tcPr>
            <w:tcW w:w="39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按照《医疗质量管理办法》要求，应成立医疗质量管理专门部门，负责本机构的医疗质量管理工作，设置医疗质量管理委员会，制定医疗管理制度；按照《医疗技术临床应用管理办法》要求，医疗机构医疗质量管理委员会应当下设医疗技术临床应用管理的专门组织，制定医疗技术临床应用管理制度、临床应用论证制度、临床应用评估制度；根据《医疗机构门诊质量管理暂行规定》，需明确负责门诊日常管理工作的部门，建立门诊质量管理制度；根据医院其他工作需要设立相应管理委员会及建立相关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2.根据《医疗机构投诉管理办法》要求，二级以上医疗机构应当设置医患关系办公室或者指定部门（以下统称投诉管理部门）统一承担投诉管理工作，建立医疗机构、投诉管理部门、科室三级投诉管理机制；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3.建立健全本机构医疗文书管理制度；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4.根据《涉及人的生命科学和医学研究伦理审查办法》要求，开展涉及人的生命科学和医学研究的二级以上医疗机构应当设立伦理审查委员会。</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查阅相关制度、组织设置文件</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①未成立医疗质量管理部门，设置医疗质量管理委员会，制定医疗管理相关制度的，扣0.5分，未设置医疗技术临床应用管理组织的，扣0.2分，未设置门诊日常管理工作部门的，扣0.2分；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②未落实投诉管理组织建设，明确部门的，扣0.5分；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③未建立健全本机构医疗文书管理制度的，扣0.5分；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④开展涉及人的生命科学和医学研究未设立伦理委员会的，扣0.1分。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（二）人员结构（6分）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1.临床科室主要负责人（眼科、耳鼻喉科、皮肤科、口腔科、麻醉科、产科、心外科、神经外科除外）应具备中级以上专业技术职务任职资格。</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抽查5个科室负责人资质证明</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科室负责人符合资质要求的，得2分，否则一人不符合扣0.4分，扣完为止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2.临床科室（口腔、麻醉科除外）医师中中医类别执业医师（含西学中人员、民族医）占执业医师总数比例是否≥60％。</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抽查3个临床科室人员资质</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抽查科室中医类别执业医师（含西学中人员）占本科室比例≥60%的，得2分，否则一个科室不符合扣0.3分，扣完为止。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中西医结合医院和中西医结合骨科医院至少有40％为中西医结合医师或中医医师（含西学中人员），得2分，否则一个科室不符合扣0.3分，扣完为止。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4"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3.临床科室医师均应接受过中医培训，熟悉专科的基本理论、基础知识和基本操作技能。</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抽查5个科室培训记录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临床科室医师接受过中医培训的，得2分；否则一个科室不符的扣0.4分，扣完为止。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487"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（三）诊疗技术（6分）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汇编病种诊疗指南、操作规程，建立、实施、评估和改进流程。技术应用符合医院感染控制、医疗质量控制规范，定期考核、评估。对于科室长期应用、疗效显著的中医医疗技术及时进行总结完善，并加以推广。</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抽查5个科室诊疗常规、操作规程、技术目录、应用推广记录等</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科室汇编有诊疗指南、操作规程、技术目录、应用推广记录的，得2分；否则按以下情形扣分：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①材料缺一项扣0.1分/科，扣完为止；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②无相关材料扣0.2分/科，扣完为止。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2.制定中医诊疗技术方案、操作规程，探索中医新技术、新方法，总结简便易行、安全有效的诊疗技术。</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抽查5个科室中医诊疗新技术目录及审批档案资料、技术规范、操作规程</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科室制定有中医诊疗技术方案、操作规程的，得2分，否则按以下情形扣分：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①缺一项扣0.4分/科，扣完为止；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②无相关材料扣0.4分/科，扣完为止。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3.严格执行《中医病历书写基本规范》和《中医电子病历基本规范（试行）》，中药处方格式及书写符合相关规定。</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随机抽取5个临床科室病案10份，中药处方30张。</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病历书写、中药处方开具符合相关规定无误的，得2分，否则按以下情形扣分：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①病历书写不符合书写规范一例扣0.2分，扣完为止；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②处方书写不规范一例扣0.1分，扣完为止。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41"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（四）医疗质量（8分）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1.严格执行确保医疗质量和医疗安全的核心制度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（1）首诊负责制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（2）三级医师查房制度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（3）疑难病例讨论制度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（4）会诊制度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（5）急危重患者抢救制度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（6）手术分级管理制度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（7）术前讨论制度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（8）死亡病例讨论制度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（9）值班和交接班制度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（10）查对制度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（11）病历管理制度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（12）临床用血审核制度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（13）分级护理制度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（14）手术安全核查制度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（15）新技术和新项目准入制度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（16）危急值报告制度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（17）抗菌药物分级管理制度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（18）信息安全管理制度</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抽查5个科室病历及病区记录本（疑难病例讨论、死亡病例讨论、交接登记、危重病人抢救登记、会诊登记、危急值登记本）；现场检查核心制度执行状况；抽查2位医务人员了解其对核心制度的知晓度和执行力。</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落实18项核心制度，科室记录完整，得5分；每发现1项核心制度不落实扣0.5分，扣完为止。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494"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2.实施院科两级质量管理，院科二级质控组织健全、职责明确、运行记录完善，医院领导参加医疗质量管理。工作制度健全、工作记录规范可信。</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查阅院科二级资料，要求院科二级质控组织人员落实、责任明确、质控工作记录规范可信</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查看院级科级质量管理制度、工作记录，制度、工作记录完整的，得1分，否则按以下情形扣分：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①无制度或记录扣0.2分，无材料扣0.5分；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②抽查2个科室质量管理材料，材料不全扣0.1分/科，无材料扣0.2分/科</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查阅相关制度流程及总结分析记录。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有不良事件管理制度并制定流程、定期总结、分析原因、及时上报的，得2分，否则按以下情形扣分：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①无制度流程扣0.5分；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②无定期总结分析扣0.5分；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③有重大不良事件及突发公共卫生事件瞒报情况不得分。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7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（25分）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（五）手术（1.5分）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抽查3项限制类技术手术备案情况，备案与手术分级相符得1.5分，否则扣0.5分/人，违背伦理或者伦理论证不合格开展的手术扣0.5分/例，开展禁止类手术不得分。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6"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（六）麻醉（1.5分）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制定麻醉医师资格分级授权管理制度与规范，以及定期能力评价与再授权的机制，麻醉人员配备合理。</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抽查3名麻醉医师授权材料，符合要求的得1.5分，否则扣0.5分/人。</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5"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（一）医院药事管理组织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是否定期对临床使用中药进行监督、评价和指导，合理遴选医疗机构内使用的中药。</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有药事管理组织并对临床使用中药进行监督、评价和指导，得1分，否则不得分。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1.设有中药饮片库房、中药饮片调剂室、中成药库房、中成药调剂室（含与西药房合并建设）、中药煎药室。</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药房设置齐全，得0.3分，否则每少1个部门（组），扣0.1分。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7"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2.中药房应当远离各种污染源，设置中药饮片调剂室、中成药调剂室、中药煎药室应配备有效的通风、除尘、防积水以及消防等设施。</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药房设置符合规范的，得0.4分，否则按以下情形扣分：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①中药房距各种污染源较近，扣0.1分；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②缺少有效的通风、除尘、防积水、消防设施，每少一种扣0.1分，扣完为止。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7"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3.中药饮片调剂室面积≥80平方米；中成药调剂室面积≥40平方米。中成药调剂室、中药饮片调剂室面积应当与医院的规模和业务需求相适应。</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各房屋面积符合要求的，得0.6分，否则按以下情形扣分，扣完为止：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①中药饮片调剂室面积&lt;80平方米，扣0.1分；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②中成药调剂室面积&lt;40平方米，扣0.1分；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③中成药、中药饮片调剂室面积与医院的规模和业务需求不相适应，每项扣0.1分。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8"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4.中药房的设备（器具）应当与医院的规模和业务需求相适应。</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设备（器具）与医院的规模和业务需求相适应，得0.2分，否则不得分。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参考设备（器具）清单：药架（柜、斗、罐）、戥秤（或电子秤、台秤）、冰箱（冷藏柜）、空调、除湿器、打粉机（或捣药盅、铜盅）、药勺、保险柜、煎药锅（或煎药机）及包装设备等。</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4"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中药饮片质量验收负责人应为具有中药学中级及以上专业技术职务任职资格和中药饮片鉴别经验的人员或具有丰富中药饮片鉴别经验的老药工。中药饮片调剂复核人员应具有主管中药师及以上专业技术职务任职资格（小包装饮片的复核人员应具有中药师及以上专业技术职务任职资格）。煎药室负责人应具有中药师及以上专业技术职务任职资格，煎药人员应为中药学专业人员或经广西中药药事质控中心培训取得相应资格的人员。</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查阅评审周期的人事档案及相关证明资料。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各相应人员符合规范的，得2分，否则按以下情形扣分：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①中药饮片质量验收负责人不符合要求，扣0.2分；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②中药饮片调剂复核人员不符合要求，扣0.2分；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③煎药室负责人应具不符合要求，扣0.2分；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④煎药人员不符合要求的，扣0.2分/人，扣完为止。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1.建立中药饮片采购制度，采购程序符合相关规定，供应商资质齐全并对其定期评估。</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查阅相关资料（如中药饮片采购制度、采购计划、供应商资质档案、评估记录等），实地考察。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无中药采购制度或供应商资质不符合要求，或有伪药及明令禁止购销的产品，或采购制度不完善得0.5分，否则不得分；未发现伪药或对供应商评估记录完整得0.5分，否则不得分。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75"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2.中药饮片验收管理制度健全并落实到位，记录完整。</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查阅中药饮片验收管理资料及评审周期的进货质量验收记录或入库清单。</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中药饮片验收管理制度健全且记录完整的，得0.5分，否则按以下情形扣分：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①无制度或无记录，不得分；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②制度不完善，扣0.1分；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③记录不完整，扣0.1分。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1"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3.中药储存管理规范，有保证质量的管理制度和设施条件，做到定期养护。</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中药储存符合规范、有管理制度、设施条件符合规范、定期养护的，得0.5分，否则按以下情形扣分：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①中药饮片有变质、霉变、生虫、串药等现象或无储存管理规范、制度，不得分；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②设施条件不完善，扣0.1分；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③养护记录不完整，扣0.1分。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52"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4.建立中药饮片处方调剂制度和操作规范，严格处方的审核和调剂复核，调剂复核率100%，每剂重量误差应在±5%以内。严格执行中药饮片处方用名和调剂给付有关规定。</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查阅相关资料，实地考察，并抽查1日中药饮片处方和调剂后的中药饮片处方20剂。</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有中药饮片调剂制度和操作规范，操作符合规定的，得1分，否则按以下情形扣分：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①无饮片调剂制度和操作规范，不得分；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②未按规定审核或无复核签字，每张处方扣0.1分（最多扣0.3分）；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③重量误差不符合要求，每剂扣0.1分（最多扣0.2分）。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1"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5.中药制剂的配制管理规范，委托加工的制剂须经相应部门批准，按照相关的规定执行。</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有中药制剂的配置管理规范，各项操作符合规定的，得0.5分，否则按以下情形扣分：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①无制剂配制记录或未经批准委托加工或委托加工批件不符合规定，不得分；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②配制记录不完善，扣0.2分。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57"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6.建立中药安全性监测管理制度和中药不良反应事件报告制度，按规定报告中药不良反应。</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查阅评审周期内相关资料，随机抽查3份归档病历。</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有中药安全性监测管理制度和中药不良反应事件报告制度，按规定报告中药不良反应的，得0.5分，否则按以下情形扣分：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①无制度，或无中药不良反应报告记录，不得分；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②未按照规定上报不良反应，每例扣0.2分，扣完为止。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9"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7.定期开展中药处方评价工作，规范处方（用药医嘱）开具、审核、调配、核发、用药指导等行为。</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查阅评审周期相关资料，并实地核查。随机抽查某日中药饮片处方30张、住院病历5份。</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定期开展中药处方评价工作，规范处方（用药医嘱）开具、审核、调配、核发、用药指导等行为的，得1分，否则不得分。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9"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六、护理（10分）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（一）护理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1.护理组织管理体系完整，实行院长领导下的护理部主任、科护士长、护士长三级结构管理体系，各层次护理管理岗位职责明确，并体现中医护理管理职能。</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查看相关文件及制度汇编</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护理组织管理体系不完整扣0.1分，岗位职责未汇编成册或不完整扣0.1分。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2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2.建立健全护理工作制度、各级各类护理人员岗位职责，并定期修订，汇编成册。</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查年护理部的制度汇编</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未汇编成册或不全面扣0.05分，未定期修订扣0.05分。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5"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3.制定符合本院实际的中医护理常规、护理技术操作规程、护理应急预案、关键环节服务流程等，并定期修订，汇编成册。</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查看相关资料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未汇编成册或不全面扣0.05分，未定期修订扣0.05分。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0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六、护理（10分）</w:t>
            </w: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人力资源管理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1.中医药院校毕业或中医护理专业毕业的护士比例不低于30%（非中医专业毕业的护士系统接受中医药知识与技能培训三年内达到100学时的护士可纳入此数据统计）</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查阅全院中医药院校毕业或中医护理专业毕业护士名单等相关资料；查阅护理部及病区培训计划及相关证明材料。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护士比例每低于标准1个百分点扣0.1分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1"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2.制定有各级各类护理人员的培训计划并组织实施。</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查阅护理部及病区培训计划及相关证明材料。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无培训计划扣0.05分；未组织实施扣0.05分；计划内涵不足或实施证明材料不全分别扣0.01分。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3.各级各类护理人员知晓岗位职责。</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提问不同类别的护理人员</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完全不知晓每名扣0.02分，知晓不全每名扣0.01分。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8"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（三）护理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组织实施管理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1.设立护理质量管理委员会，组织开展护理质量评价工作。</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查阅文件及护理质量管理工作计划及评价过程证明材料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无护理质量管理委员会扣0.01分；未开展护理质量评价工作扣0.02分；护理质量评价工作开展不科学不规范扣0.01分。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36"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2.严格落实医疗核心制度（护理相关），确保患者安全。</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查阅护理文书、护理不良事件报告及各类护理管理记录资料；现场查各项制度的落实情况 。</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未落实一项制度扣0.01分，直到扣完此条目总分。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9"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3.开展与医院功能相匹配的中医特色护理服务，满足患者对中医药服务的需求。全院开展中医护理技术项目数不低于5项。护士掌握疾病护理常规及护理技术操作规程，能提供具有中医特色的健康教育和康复指导。</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查阅HIS系统中统计的中医护理技术的总项目数；现场查看科室患者的护理常规落实情况；抽考护士中医护理技术操作。</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全院未达到5项，每少一项扣0.01分；护理常规未落实扣0.01分；护士操作考核不合格扣0.01分。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99"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查阅相关资料并实地考察。抽查临检、微生物、免疫、生化等专业项目，现场查看，抽查检验报告</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临床检验部门设置符合规范、服务能力符合要求的，得1分，否则按以下情况扣分，扣完为止：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①实验室设置必须符合生物安全规范，满足且完成生物安全Ⅱ级防护实验室备案。有显著缺陷扣0.05分，未备案扣1分；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②实验室未集中设置、统一管理扣0.1分；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③不能提供24小时急诊检验服务，扣0.1分；检验报告时间不符合要求，每项扣0.05分。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④检验技术人员依规持证上岗，检验仪器设备、试剂三证齐全，在有效期内使用；检验项目及方法学设置符合卫生行政部门规范。发现不符扣0.1分。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检验科必须建立室内控制体系，并参加国家卫健委临床检验中心或广西壮族自治区临床检验中心的室间质评活动（三级医院检验科参加国家卫健委临床检验中心室间质评，一、二级医院检验科参加自治区临床检验中心室间质评）。无室内质控或未参加相应室间质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39"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（二）人员</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由具备临床检验专业资质的人员进行临床检验活动。</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人员资质符合要求的，得1分，否则按以下情形扣分，扣完为止：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①资质不符合要求，每人扣0.2分；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②分子生物学实验室、HIV初筛实验室及签发HIV初筛报告检验人员无上岗证，每人扣0.01；</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（三）规章</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有实验室安全流程，制度及相应的标准操作流程，检查报告审核制度、质量与安全管理制度等。</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①无实验室安全流程，扣0.1分；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②无制度及相应的标准操作流程，扣0.1分；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③无报告审核制度，扣0.1分；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④无质量与安全管理制度的，扣0.1分。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3"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（四）检验</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（0.6分）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检验报告及时、准确、规范，严格审核制度。</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随机查阅检验报告，现场考核检验人员操作及报告准确度。抽查10份检验报告单（覆盖血液、体液、生化、免疫、微生物、分子等专业）。</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检验报告及时、准确、规范，严格审核制度的，得0.6分，否则按以下情形扣分：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①无校准验证、能力验证、室内质控或室间质评制度，少一项扣0.1分；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②报告格式不规范，每份扣0.02分；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③检验报告单未执行双签字（急诊除外），每份扣0.02分。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（五）设置（1分）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分值需要设置</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独立设置病理科建设符合要求、服务项目能满足诊疗需要、人员符合要求、诊断质量符合标准的，委托第三方开展病理检查的协议内容体现病理开展有关条件，得1分，否则按以下情形扣分：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①设置布局不合理、不符合生物安全要求，每项扣0.05分。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②服务项目不能满足临床需要，扣0.05分。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③人员配备不能满足工作需要，扣0.01分；报告医师不符合要求，每人扣0.02分；其他人员未经培训，每人扣0.01分；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④委托第三方开展病理检查未签署委托服务协议，不得分。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输血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（六）设置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落实《中华人民共和国献血法》《医疗机构临床用血管理办法（试行）》和《临床输血技术规范》等有关法律和规范，制定输血管理制度，并落实。</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查阅相关资料，实地考察，抽查5份运行或归档的输血病历。抽查1名医务人员。</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有相关输血管理制度并落实，临床用血符合相关管理规定的，得1分，否则按以下情形扣分：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①无相关制度和实施细则，扣0.1分，内容未涵盖全过程，扣0.02分。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②对医务人员未进行相关培训，扣0.1分。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③无用血计划，扣0.02分；无分级管理制度，扣0.02分；未定期进行用血评价及公示，扣0.02分。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④未进行血型及感染筛查（肝功能、乙肝五项、HCV、HIV、梅毒抗体）的相关检测，每份扣0.03分；未签署“输血治疗知情同意书”，每份扣0.03分。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⑤无输血适应症管理规定，不得分；无用血后效果评价管理要求及评价，不得分；医院无输血指征综合评估的指标，扣0.05分。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⑥无自体输血、围手术期血液保护等输血技术管理制度，不得分。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62"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医学影像（普通放射、CT、MRI、超声、核素成像等）部门设置、布局、设备设施符合《放射诊疗管理规定》，通过医疗机构执业诊疗科目许可登记，取得《放射诊疗许可证》，服务满足临床需要。</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现场查看</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医学影像部门设置、布局、设备设施符合《放射诊疗管理规定》，通过医疗机构执业诊疗科目许可登记，取得《放射诊疗许可证》，服务满足临床需要的，得0.5分，否则按以下情形扣分：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①未取得《放射诊疗许可证》，或《许可证》诊疗项目与诊疗服务不符合，不得分；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②X线影像、超声检查、CT不能提供24小时急诊（包括床边急诊）检查服务，每项扣0.1分。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80"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（二）执业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按规定办理《放射诊疗许可证》。</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核查医疗机构的放射诊疗设备情况。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按规定办理《放射诊疗许可证》的，得1分，否则按以下情形扣分，扣完为止：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①使用放射诊疗设备但未办理《放射诊疗许可证》或未按期申请《放射诊疗许可证》校验，扣1分。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②使用的放射诊疗设备未登记的，每台扣0.1分。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③登记的放射诊疗设备及其工作场所未按规定进行年度防护、性能检测的，每台设备或场所扣0.1分。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8"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（三）人员</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由具备医学影像专业资质的人员进行医学影像检查活动，出具检查报告人员应具备执业医师资质。</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工作人员资质符合相关规定的，得1分，每发现1人资质不合格扣0.2分，扣完为止。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8"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（四）规章</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规章制度健全，有岗位职责、技术操作规范、质量控制制度、医学影像诊断报告审核制度、医学影像设备定期监测制度、环境保护、受检者防护及工作人员职业健康防护等相关制度；制定放射安全事件应急预案，有必要的紧急意外抢救药品器材，相关人员具备紧急抢救能力，有与临床科室紧急呼救与支援的机制与流程。</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查阅相关资料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规章制度健全的得1分，否则按以下情形扣分：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①无规章制度和技术操作规范，不得分；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②未制定质控指标，扣0.1分。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③未开展设备年度安全检查，或无定期校正和维护记录，扣0.1分；设备运行完好率＜95%，扣0.05分。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④未对受检者敏感器官和组织进行屏蔽防护，扣0.1分；未给工作人员提供完整的放射防护器材与个人防护用品，扣0.1分：未为影像科人员佩戴个人放射剂量计，扣0.1分；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⑤科室无紧急意外抢救预案，扣0.1分；缺少必要的紧急意外抢救药品器材，扣0.1分；无与临床科室紧急呼救与支援的机制与流程，扣0.05分。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41"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医学影像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检查报告及时、准确、规范，严格审核制度。</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抽查评审周期X线影像、超声检查、CT（MRI）或核素成像各5份报告。</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检查报告及时、准确、规范，严格执行审核制度的，得1分，否则按以下情形扣分：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①出具报告医师资质、报告时间、报告流程不符合要求，每发现一处扣0.05分；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②报告质量不符合要求，每份扣0.1分；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③未执行审核制度，每份扣0.05分；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④无质量评价，或未确立质量指标，扣0.03分；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⑤整改措施落实不到位，酌情扣分。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6"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组织</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根据《医院感染管理办法》建立健全三级医院感染管理组织体系，职责明确；院感专职人员配备应符合《医院感染监测标准》要求。</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查看相关资料（人员配备查看人事科资料）。</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①未按要求建立管理组织体系，扣1分；院感委员会成立无正式印发文件，扣0.5分；无各级组织工作职责，扣0.5分；无院感委员会会议记录，扣0.3分；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②未配备院感专职人员，扣1分；按每 150～200张实际使用病床至少配备1名医院感染管理专职人员，每少一人扣0.2分。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98"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医院应按《医疗机构感染预防与控制基本制度（试行）》《中医技术相关性感染预防与控制指南 （试行）》等要求，建立适合本院实际情况的医院感染预防与控制制度、工作流程，并根据最新要求及时修订。</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查看医院感染基本制度、工作流程。</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制定感控分级管理、监测及报告、标准预防措施（手卫生）执行管理、感控风险评估、多重耐药菌感染预防与控制、侵入性器械/操作相关感染防控、培训教育、医院感染暴发报告及处置、医务人员感染性病原体职业暴露预防与处置、医疗机构内传染病相关感染预防与控制、中医技术相关性感染预防与控制制度，每缺一项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②抽查制度或工作流程，发现与医院实际情况不符，扣0.2分/项，扣完为止。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40"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（三）人员</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培训及考核</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照《医院感染管理专业人员培训指南》《病区医院感染管理规范》等要求，每年开展院感专职人员和院科两级医院感染防控相关知识培训，院感专职人员每年接受医院感染继续教育或培训，具有相应实际工作能力；医务人员能正确掌握医院感染防控知识。</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查看培训计划与记录等相关资料，现场访谈工作人员</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①院感专职人员未每年参加市级及以上医院感染继续教育或培训，扣0.2分/人；</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②未制定院科两级培训考核计划并实施，扣1分；未开展院级培训考核，扣0.5分；未开展科级培训考核，扣0.1分/科。</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8"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（四）医院感染监测与质控管理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查阅监测计划、监测记录、监测总结、分析等</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①未开展监测工作，不得分；全院性综合监测、目标性监测、消毒灭菌效果监测，监测项目不全，缺一项扣0.3分；无持续改进，扣0.3分/项； </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②发生医院感染暴发未报告不得分；发生疑似医院感染暴发或聚集事件未进行调查和处置，无记录，扣1分/次。</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③未开展院科两级医院感染质控管理，扣1分。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④未做到每季度将监测数据在全院发布，扣0.5分。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93" w:hRule="atLeast"/>
        </w:trPr>
        <w:tc>
          <w:tcPr>
            <w:tcW w:w="398"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（15分）</w:t>
            </w: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（五）消毒隔离防护措施与重点部门管理（3.8分）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根据《传染病防治法》《医疗机构消毒技术规范》《医院隔离技术标准》《中医技术相关性感染预防与控制指南 （试行）》《医院消毒供应中心管理规范》《多重耐药菌医院感染预防与控制技术指南（试行）》等要求，落实消毒隔离防护措施和专科感染防控措施。感染性疾病科、手术室、消毒供应室、新生儿科、血液透析室、重症医学科、产科、介入手术室、口腔科、内镜室、急诊科、检验科、放射科的布局流程及运行管理符合相关院感要求。</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抽查2个医院感染重点部门和1个普通临床科室（消毒供应室必查）</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①标准预防措施或专科感染防控措施落实欠规范，扣0.2分/处。</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②各类医疗器械、医疗用品的消毒、灭菌方式方法不符合要求，扣0.2分/处。</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③未对疑似/确诊的传染病患者或多重耐药菌感染/定植患者采取有效消毒隔离措施，扣0.3分/人。</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④重点部门建筑布局流程不合理，扣0.3分/部门；</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⑤重点部门未建立与本科室相关感染防控制度扣0.2分/部门，扣完为止。</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3" w:hRule="atLeast"/>
        </w:trPr>
        <w:tc>
          <w:tcPr>
            <w:tcW w:w="398"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（六）手卫生（2分）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根据《医务人员手卫生规范》，将手卫生纳入医院医疗质量考核；开展手卫生知识与技能培训、手卫生依从性及消毒效果监测；手卫生设施设置齐全，符合要求。</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查看制度、培训记录、监测记录等资料，抽查2个临床科室，1-3名医务人员</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①未将手卫生纳入院科两级监测和医院医疗质量考核，扣0.2分/项/级或科；</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②手卫生设施配备不符合标准，扣0.2分/项。</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398"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p>
        </w:tc>
        <w:tc>
          <w:tcPr>
            <w:tcW w:w="46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（七）信息化建设</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（0.2分）</w:t>
            </w:r>
          </w:p>
        </w:tc>
        <w:tc>
          <w:tcPr>
            <w:tcW w:w="150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二级中医医院应配备医院感染病例实时监测系统。</w:t>
            </w:r>
          </w:p>
        </w:tc>
        <w:tc>
          <w:tcPr>
            <w:tcW w:w="695"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实地查看信息系统配置、使用、维护情况</w:t>
            </w:r>
          </w:p>
        </w:tc>
        <w:tc>
          <w:tcPr>
            <w:tcW w:w="173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未配备医院感染病例监测系统，扣0.2分。</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4791"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总计</w:t>
            </w:r>
          </w:p>
        </w:tc>
        <w:tc>
          <w:tcPr>
            <w:tcW w:w="208"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100</w:t>
            </w:r>
          </w:p>
        </w:tc>
      </w:tr>
    </w:tbl>
    <w:p>
      <w:pPr>
        <w:rPr>
          <w:rFonts w:hint="eastAsia"/>
          <w:lang w:val="en-US" w:eastAsia="zh-CN"/>
        </w:rPr>
      </w:pPr>
    </w:p>
    <w:p>
      <w:pPr>
        <w:pStyle w:val="2"/>
        <w:ind w:left="0" w:leftChars="0" w:firstLine="0" w:firstLineChars="0"/>
        <w:rPr>
          <w:rFonts w:hint="eastAsia"/>
          <w:lang w:val="en-US" w:eastAsia="zh-CN"/>
        </w:rPr>
        <w:sectPr>
          <w:pgSz w:w="16838" w:h="11906" w:orient="landscape"/>
          <w:pgMar w:top="1701" w:right="1417" w:bottom="1417" w:left="1701" w:header="851" w:footer="992" w:gutter="0"/>
          <w:pgBorders>
            <w:top w:val="none" w:sz="0" w:space="0"/>
            <w:left w:val="none" w:sz="0" w:space="0"/>
            <w:bottom w:val="none" w:sz="0" w:space="0"/>
            <w:right w:val="none" w:sz="0" w:space="0"/>
          </w:pgBorders>
          <w:cols w:space="720" w:num="1"/>
          <w:docGrid w:type="lines" w:linePitch="312" w:charSpace="0"/>
        </w:sectPr>
      </w:pPr>
    </w:p>
    <w:p>
      <w:pPr>
        <w:ind w:left="0" w:leftChars="0" w:firstLine="0" w:firstLineChars="0"/>
        <w:rPr>
          <w:rFonts w:hint="eastAsia" w:ascii="黑体" w:hAnsi="黑体" w:eastAsia="黑体" w:cs="黑体"/>
          <w:lang w:val="en-US" w:eastAsia="zh-CN"/>
        </w:rPr>
      </w:pPr>
      <w:r>
        <w:rPr>
          <w:rFonts w:hint="eastAsia" w:ascii="黑体" w:hAnsi="黑体" w:eastAsia="黑体" w:cs="黑体"/>
          <w:lang w:val="en-US" w:eastAsia="zh-CN"/>
        </w:rPr>
        <w:t>附件3</w:t>
      </w:r>
    </w:p>
    <w:p>
      <w:pPr>
        <w:pStyle w:val="2"/>
        <w:rPr>
          <w:rFonts w:hint="eastAsia"/>
          <w:lang w:val="en-US" w:eastAsia="zh-CN"/>
        </w:rPr>
      </w:pPr>
    </w:p>
    <w:p>
      <w:pPr>
        <w:ind w:left="0" w:leftChars="0" w:firstLine="0" w:firstLineChars="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一级</w:t>
      </w:r>
      <w:r>
        <w:rPr>
          <w:rFonts w:hint="eastAsia" w:ascii="方正小标宋简体" w:hAnsi="方正小标宋简体" w:eastAsia="方正小标宋简体" w:cs="方正小标宋简体"/>
          <w:color w:val="auto"/>
          <w:sz w:val="44"/>
          <w:szCs w:val="44"/>
          <w:highlight w:val="none"/>
          <w:lang w:val="en-US" w:eastAsia="zh-CN"/>
        </w:rPr>
        <w:t>中医医疗机构</w:t>
      </w:r>
      <w:r>
        <w:rPr>
          <w:rFonts w:hint="eastAsia" w:ascii="方正小标宋简体" w:hAnsi="方正小标宋简体" w:eastAsia="方正小标宋简体" w:cs="方正小标宋简体"/>
          <w:color w:val="auto"/>
          <w:sz w:val="44"/>
          <w:szCs w:val="44"/>
          <w:lang w:val="en-US" w:eastAsia="zh-CN"/>
        </w:rPr>
        <w:t>执业校验评分细则（试行）</w:t>
      </w:r>
    </w:p>
    <w:p>
      <w:pPr>
        <w:pStyle w:val="2"/>
        <w:rPr>
          <w:rFonts w:hint="eastAsia"/>
          <w:lang w:val="en-US" w:eastAsia="zh-CN"/>
        </w:rPr>
      </w:pPr>
    </w:p>
    <w:tbl>
      <w:tblPr>
        <w:tblStyle w:val="10"/>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033"/>
        <w:gridCol w:w="1318"/>
        <w:gridCol w:w="4135"/>
        <w:gridCol w:w="1878"/>
        <w:gridCol w:w="4962"/>
        <w:gridCol w:w="60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4" w:hRule="atLeast"/>
          <w:tblHeader/>
        </w:trPr>
        <w:tc>
          <w:tcPr>
            <w:tcW w:w="371"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auto"/>
                <w:kern w:val="0"/>
                <w:sz w:val="18"/>
                <w:szCs w:val="18"/>
                <w:u w:val="none"/>
                <w:lang w:val="en-US" w:eastAsia="zh-CN" w:bidi="ar"/>
              </w:rPr>
            </w:pPr>
            <w:r>
              <w:rPr>
                <w:rFonts w:hint="eastAsia" w:ascii="黑体" w:hAnsi="黑体" w:eastAsia="黑体" w:cs="黑体"/>
                <w:i w:val="0"/>
                <w:iCs w:val="0"/>
                <w:color w:val="auto"/>
                <w:kern w:val="0"/>
                <w:sz w:val="18"/>
                <w:szCs w:val="18"/>
                <w:u w:val="none"/>
                <w:lang w:val="en-US" w:eastAsia="zh-CN" w:bidi="ar"/>
              </w:rPr>
              <w:t>审查项目</w:t>
            </w:r>
          </w:p>
        </w:tc>
        <w:tc>
          <w:tcPr>
            <w:tcW w:w="1957" w:type="pct"/>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auto"/>
                <w:kern w:val="0"/>
                <w:sz w:val="18"/>
                <w:szCs w:val="18"/>
                <w:u w:val="none"/>
                <w:lang w:val="en-US" w:eastAsia="zh-CN" w:bidi="ar"/>
              </w:rPr>
            </w:pPr>
            <w:r>
              <w:rPr>
                <w:rFonts w:hint="eastAsia" w:ascii="黑体" w:hAnsi="黑体" w:eastAsia="黑体" w:cs="黑体"/>
                <w:i w:val="0"/>
                <w:iCs w:val="0"/>
                <w:color w:val="auto"/>
                <w:kern w:val="0"/>
                <w:sz w:val="18"/>
                <w:szCs w:val="18"/>
                <w:u w:val="none"/>
                <w:lang w:val="en-US" w:eastAsia="zh-CN" w:bidi="ar"/>
              </w:rPr>
              <w:t>审查内容</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auto"/>
                <w:kern w:val="0"/>
                <w:sz w:val="18"/>
                <w:szCs w:val="18"/>
                <w:u w:val="none"/>
                <w:lang w:val="en-US" w:eastAsia="zh-CN" w:bidi="ar"/>
              </w:rPr>
            </w:pPr>
            <w:r>
              <w:rPr>
                <w:rFonts w:hint="eastAsia" w:ascii="黑体" w:hAnsi="黑体" w:eastAsia="黑体" w:cs="黑体"/>
                <w:i w:val="0"/>
                <w:iCs w:val="0"/>
                <w:color w:val="auto"/>
                <w:kern w:val="0"/>
                <w:sz w:val="18"/>
                <w:szCs w:val="18"/>
                <w:u w:val="none"/>
                <w:lang w:val="en-US" w:eastAsia="zh-CN" w:bidi="ar"/>
              </w:rPr>
              <w:t>审查方法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auto"/>
                <w:kern w:val="0"/>
                <w:sz w:val="18"/>
                <w:szCs w:val="18"/>
                <w:u w:val="none"/>
                <w:lang w:val="en-US" w:eastAsia="zh-CN" w:bidi="ar"/>
              </w:rPr>
            </w:pPr>
            <w:r>
              <w:rPr>
                <w:rFonts w:hint="eastAsia" w:ascii="黑体" w:hAnsi="黑体" w:eastAsia="黑体" w:cs="黑体"/>
                <w:i w:val="0"/>
                <w:iCs w:val="0"/>
                <w:color w:val="auto"/>
                <w:kern w:val="0"/>
                <w:sz w:val="18"/>
                <w:szCs w:val="18"/>
                <w:u w:val="none"/>
                <w:lang w:val="en-US" w:eastAsia="zh-CN" w:bidi="ar"/>
              </w:rPr>
              <w:t>评分标准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黑体" w:hAnsi="黑体" w:eastAsia="黑体" w:cs="黑体"/>
                <w:i w:val="0"/>
                <w:iCs w:val="0"/>
                <w:color w:val="auto"/>
                <w:kern w:val="0"/>
                <w:sz w:val="18"/>
                <w:szCs w:val="18"/>
                <w:u w:val="none"/>
                <w:lang w:val="en-US" w:eastAsia="zh-CN" w:bidi="ar"/>
              </w:rPr>
            </w:pPr>
            <w:r>
              <w:rPr>
                <w:rFonts w:hint="eastAsia" w:ascii="黑体" w:hAnsi="黑体" w:eastAsia="黑体" w:cs="黑体"/>
                <w:i w:val="0"/>
                <w:iCs w:val="0"/>
                <w:color w:val="auto"/>
                <w:kern w:val="0"/>
                <w:sz w:val="18"/>
                <w:szCs w:val="18"/>
                <w:u w:val="none"/>
                <w:lang w:val="en-US" w:eastAsia="zh-CN" w:bidi="ar"/>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84"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基本标准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床位</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★床位（牙椅）编制配置：</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中医医院住院床位总数20-79张。</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规定以实际开放床位数计算每床卫生技术人员数、每床配备护士数、每床建筑面积、每床净使用面积。</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查看批文、医疗机构执业许可证</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★【一票否决】床位（牙椅）编制床位配置不符合配置要求的。</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基本标准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（二）</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科室设置</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★①临床科室设置：至少设有三个中医一级临床科室；</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②医技科室：药房、化验室、X光室。</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查看批文、医疗机构执业许可证</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★【一票否决】科室设置不全或设置不符合相关规定。</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924"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基本标准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（三）</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人员配备</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★人员配备：</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①每床至少配有0.7名卫生技术人员；</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②中医药人员（含西学中）占医药人员总数的比例不低于60%；</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③至少有3名中医师，1名中药士，4名护士及相应的放射、检验人员；</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④至少有1名具有主治医师及以上职称的中医师。</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核查人员花名册、排班表等，查看人员的学历证书、执业证书、职称证书等。</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★【一票否决】此处不设分值</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40"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基本标准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（四）</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房屋面积</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★每床建筑面积≥30平方米</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核查医疗机构业务用房面积、每床净使用面积、日平均每门诊人次占门诊建筑面积等。核查相应科室的建筑面积或使用面积。</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★【一票否决】每床建筑面积&lt;30平方米。</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95"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基本标准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（五）</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设备配备</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★设备达到相应医院基本标准，设备配备符合《一级中医医院医疗机构基本标准》并能正常使用。</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按相应医院基本标准查以下设备：</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1、基本设备；</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2、开展的专科相应的设备。</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现场查看设备，抽查设备清单、购置票据或设备卡片、设备档案等。使用先进设备应包含基本功能。</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★【一票否决】基本设备（功能）缺失。</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消毒供应、医学检验或病理检查与其他合法机构签订相关服务合同，并由其提供服务的，在满足急诊工作需要的基础上可不配备消毒供应和部分检验、病理检查设备。</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0"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医院管理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安全管理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★4.严格执行医疗用毒性药品、麻醉药品、精神药品、放射性药品管理制度，做到专人负责、专柜加锁、专用账册、专用处方、专册登记；无毒麻药品丢失现象。</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查管理制度、使用情况及其记录。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★【一票否决】未按规范管理造成毒麻药品丢失的，一票否决。</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16" w:hRule="atLeast"/>
        </w:trPr>
        <w:tc>
          <w:tcPr>
            <w:tcW w:w="37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一、基本</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标准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（12.5分）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（一）床位</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床位（牙椅）编制配置：</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中医医院住院床位总数20-79张。</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规定以实际开放床位数计算每床卫生技术人员数、每床配备护士数、每床建筑面积、每床净使用面积。</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查看批文、医疗机构执业许可证</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实际开放床位数与申请登记（核准）床位数基本相符得3分，否则按以下情形扣分：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①10%&lt;（实际开放床位数－登记（核准）床位数）/登记（核准）≤20%，扣1分；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②20%&lt;（实际开放床位数－登记（核准）床位数）/登记（核准）≤30%时，扣2分；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③30%&lt;（实际开放床位数－登记（核准）床位数）/登记（核准），扣3分；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37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（二）房屋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面积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每床建筑面积≥30平方米</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spacing w:val="0"/>
                <w:kern w:val="0"/>
                <w:sz w:val="18"/>
                <w:szCs w:val="18"/>
                <w:u w:val="none"/>
                <w:lang w:val="en-US" w:eastAsia="zh-CN" w:bidi="ar"/>
              </w:rPr>
              <w:t>核查医疗机构业务用房面积、每床净使用面积、日平均每门诊人次占门诊建筑面积等。核查相应科室的建筑面积或使用面积。</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按实际申报床位（牙椅）数计算，每床建筑面积：≥30平方米的，得3分；每少10平方米扣0.1分。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66" w:hRule="atLeast"/>
        </w:trPr>
        <w:tc>
          <w:tcPr>
            <w:tcW w:w="37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（三）规章</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制订各项规章制度、人员岗位责任制，有国家制定或认可的医疗护理技术操作规程，并成册可用。</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查阅相关制度及有关医疗护理技术操作规范、常规等资料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①有人员岗位职责明确得0.4分，否则不得分；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②有国家制定或认可的医疗技术操作规程、诊疗规范、管理规定齐全并装订成册的（详见目录1）（补目录及审查方法），得1分，每少1项扣0.1分，扣完为止；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③有国家制定或认可的护理技术操作规程、诊疗规范、管理规定齐全并装订成册的，得1分，每少1个技术的扣0.1分，扣完为止；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④有应急、消防、行风管理规定齐全并装订成册的，得0.6分，每一项有缺漏的扣0.2分，扣完为止。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371"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二、依法</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（一）依法</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1.医疗机构应按期申请执业校验。</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核查医疗机构是否按期申请执业校验。</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①在校验期满前1—3个月申请执业校验的，得1分。                 </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②在校验期满后申请执业校验的，得0分。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50" w:hRule="atLeast"/>
        </w:trPr>
        <w:tc>
          <w:tcPr>
            <w:tcW w:w="371"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2.不良执业行为记分情况。</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核查医疗机构校验周期内的不良执业行为记分情况。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校验周期内无医疗机构不良执业行为扣分的，得2分，否则按以下情形计分：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①校验期内不良执业行为记分＜4分的，得1.5分；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②校验期内不良执业行为记分≥4且＜8分的，得1分；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③校验期内不良执业行为记分≥8且＜12，得0.5分。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2"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（17分）</w:t>
            </w: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1.医院应有健全的科学管理体系，医院领导职责分工明确。</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查医院领导正、副职分工文件。</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有领导职责分工相关文件的，得1分，否则不得分。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96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2.医院实行目标管理，并制定中、长期发展规划和年度计划；做好执行计划的协调、检查、考核与评价。</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查医院发展规划、周期内年度计划和总结，计划完成评价。</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有中、长期发展规划和年度计划的，得1.5分，否则按以下情形扣分：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①缺中长期规划的，扣0.5分；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②缺年度计划的，扣0.5分；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③未做好执行计划的协调、检查、考核评价的扣0.2分；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④材料全无扣1.5分.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364"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3.完善综合评价体系， 体现中医特点，建立以中医临床疗效为核心、以服务能力与绩效为基础的考核和激励制度。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随机抽查1个科室考评方案及绩效分配方案</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科室综合考核目标中体现中医药、民族医药特色优势和提高临床疗效指标的，得1分；否则按以下情形扣分：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①指标不具体，或未实施的，扣0.3分；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②部分实施的，扣0.1分；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③未实行绩效工资管理，不得分；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④考核结果未体现在科室分配方案中，每个科扣0.1分；部分体现，每个科室扣0.05分。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45"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（17分）</w:t>
            </w: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（二）信息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1.设立相应的信息管理部门，包括病案室、统计室等；医院信息（包括医疗、病案统计、财务、人事、药学等信息）实现信息化管理。</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查医院设置文件并现场检查，查信息化实施情况。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相关部门实现信息化管理的，得1分，否则按以下情形扣分：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①缺1个部门，每个扣0.05分；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②未实行信息化管理扣1分。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6"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2.病案及时归档，按自治区卫生行政部门现行要求进行编码，无丢失等现象。</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现场检查病案科（室）、抽查10份以上病案。</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病案及时归档并编码的，得1分，否则按以下情形扣分：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①发现一份病案有缺项的，扣0.1分，扣完为止；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②不按规定编码、无病历归档管理记录不得分。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3.各种统计、分析、编码及信息必须采用国家和部颁标准；数据真实，完整、准确，并及时得到分析、反馈与利用。</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查周期内各年度信息报表和信息工作总结。</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按标准统计、分析、数据并且真实完整的，得1分，否则，未按照标准统计、分析、编码的扣0.5分，数据不准、完整、真实的扣0.5分。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（三）财务</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1.严格执行国家颁发的财务制度，加强财经纪律，无重大违反财经制度事件发生。</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咨询审计等相关部门，查年度财务计划及结算报告，以及周期内被上级及相关管理部门处罚情况。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严格执行国家颁发的财务制度且无重大违反财经制度事件发生的，得1分，否则按以下情形扣分：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①财务制度每缺1项，扣0.3分；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②有重大违反财务制度事件发生的（以卫生行政部门、审计部门、财政部门等有关部门通报为准），不得分。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79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2.严格执行收费标准，医疗服务项目主动公开、公开医保支付目录，执行住院费用清单制度。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查医院收费公布和收费查询情况，并抽查50张以上门诊和10份住院病历的收费情况。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严格执行收费标准的，医疗服务项目主动公开、公开医保支付目录，执行住院费用清单制度，得2分，否则按以下情形扣分：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①医疗服务项目收费标准和医保支付目录不公开扣1分；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②抽查病历收费情况，发现1例收费不符标准扣0.2分；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③不设收费查询系统扣0.5分；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④不提供患者住院清单扣0.3分。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677"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（四）安全</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1.有健全的医院安全保卫管理组织、制度、措施和定期检查评价。</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查组织机构、相关文件和记录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有健全的医院安全保卫管理组织、制度、措施并定期检查评价的，得1分，否则按以下情形扣分：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①缺管理组织的，扣0.3分；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②缺制度的，扣0.3分；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③缺措施的，扣0.3分；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④缺定期检查评价的，扣0.1分。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64"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（17分）</w:t>
            </w: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（四）安全</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2.易发生危险的设备及部门有特殊的管理措施，如高压力系统、高压氧舱、氧气供应室、危险品仓库、同位素室、配电室、手术室、细菌室等。</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查相关管理制度、措施、记录。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有完整的危险设备及特殊部门管理措施的，得1分，否则按以下情形扣分：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①缺制度措施扣0.5分；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②制度不健全扣0.2分；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③无相应管理记录的扣0.5分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7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3.消防设备齐全，标志醒目，设备状况良好，定期检查更换，使用方便，安全疏散路线畅通，有消防检测合格证书。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现场检查并查验证书。</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消防设备齐全、标志醒目，设备状况良好，安全疏散路线畅通且有消防检测合格证书的，得1分，否则按以下情形扣分：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①消防设备不齐的，扣0.3分；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②安全疏散路线有阻碍的，扣0.3分；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③无检测合格证书的，扣0.8分。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32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4.严格执行医疗用毒性药品、麻醉药品、精神药品、放射性药品管理制度，做到专人负责、专柜加锁、专用账册、专用处方、专册登记；无毒麻药品丢失现象。</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查管理制度、使用情况及其记录。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有毒性药品、麻醉药品、精神药品、放射性药品管理制度且专人负责、专柜加锁、专用账册、专用处方、专册登记，无药品丢失情况的，得2分；否则按以下情形扣分：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管理制度、专人负责、专柜加锁、专用账册、专用处方、专册登记，缺1项扣0.3分；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98"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（五）环境</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1.执行《无烟医疗卫生机构标准（试行）》、院区保持清洁干净，道路硬化，环境舒适。</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检查院内环境卫生情况。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有禁烟标识且院区清洁干净、道路安全、环境舒适的，得1分，否则按以下情形扣分，扣完为止：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①无禁烟标识的，扣0.5分；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②院区卫生差乱、环境不舒适的，扣0.2分；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③院区道路有安全隐患的，扣0.1分。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15"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2.按照《医疗废物管理条例》等要求，规范处理医疗废物与污水。健全污水、污物、放射性物质等管理制度，医疗废物处理和污水排放符合有关规定。</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查阅相关制度、检测记录，并现场检查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符合《医疗废物管理条例》等要求的，得1.5分，否则按以下情形扣分，扣完为止：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1.无医疗废物（包括污水处理）管理制度与处理规范，扣1分；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2.医疗废物处理不符合规定，存在收集、打包、运送、交接、贮存、记录等不规范，每项扣0.3分；未签署医疗废弃物处理合同扣0.5分；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3.医疗废弃物暂存站或（处）设置不符合要求，扣0.5分。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4.污水排放不符合规定的，扣0.5分；未提供环保部定期出具的污水监测合格报告，扣0.5分；污水监测资料不完整，一处扣0.2分。扣完为止。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0"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按照《医疗质量管理办法》要求，应成立医疗质量管理专门部门，负责本机构的医疗质量管理工作，设置医疗质量管理委员会，制定医疗管理制度；按照《医疗技术临床应用管理办法》要求，医疗机构医疗质量管理委员会应当下设医疗技术临床应用管理的专门组织，制定医疗技术临床应用管理制度、临床应用论证制度、临床应用评估制度；根据《医疗机构门诊质量管理暂行规定》，需明确负责门诊日常管理工作的部门，建立门诊质量管理制度；根据医院其他工作需要设立相应管理委员会及建立相关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2.根据《医疗机构投诉管理办法》要求，二级以上医疗机构应当设置医患关系办公室或者指定部门（以下统称投诉管理部门）统一承担投诉管理工作，建立医疗机构、投诉管理部门、科室三级投诉管理机制；</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3.建立健全本机构医疗文书管理制度；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4.根据《涉及人的生命科学和医学研究伦理审查办法》要求，开展涉及人的生命科学和医学研究的二级以上医疗机构应当设立伦理审查委员会。</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查阅相关制度、组织设置文件</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①未成立医疗质量管理部门，设置医疗质量管理委员会，制定医疗管理相关制度的，扣0.5分，未设置医疗技术临床应用管理组织的，扣0.2分，未设置门诊日常管理工作部门的，扣0.2分；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②未落实投诉管理组织建设，明确部门的，扣0.5分；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③未建立健全本机构医疗文书管理制度的，扣0.5分；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④开展涉及人的生命科学和医学研究未设立伦理委员会的，扣0.1分。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（二）人员</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结构</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临床科室主要负责人应具备中级以上专业技术职务任职资格，内科、骨伤科、妇科、儿科等科室负责人应当从事相关专业工作5年以上的中医类别执业医师或经过2年以上中医药知识和技能系统培训的临床类别医师。</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抽查1个科室负责人资质证明</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科室负责人符合资质要求的，得2分，否则一人不符合扣0.2分，扣完为止。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1"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2.开设病区的临床科室医师构成合理；专业人才形成梯队，医师配备数量与科室床位数相适应。</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查阅人事档案及相关证明材料。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核查科室卫生技术人员配备情况符合要求的，得2分，不符合要求或配备不合理，每个科室扣0.4分，扣完为止。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4"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3.临床科室医师均应接受过中医培训，熟悉专科的基本理论、基础知识和基本操作技能。</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抽查5个科室培训记录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临床科室医师接受过中医培训的，得2分；否则一个科室不符的扣0.4分，扣完为止。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180"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（25分）</w:t>
            </w: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（三）诊疗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技术</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1.汇编病种诊疗指南、操作规程，建立、实施、评估和改进流程。技术应用符合医院感染控制、医疗质量控制规范，定期考核、评估。</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抽查1个科室诊疗常规、操作规程、技术目录、应用推广记录等</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科室汇编有诊疗指南、操作规程、技术目录的，得2分；否则按以下情形扣分：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①材料缺一项扣0.4分/科，扣完为止；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②无相关材料扣0.4分/科，扣完为止。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0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2.制定中医诊疗技术方案、操作规程，探索中医新技术、新方法，总结简便易行、安全有效的诊疗技术。</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抽查1个科室中医诊疗新技术目录及审批档案资料、技术规范、操作规程</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科室制定有中医诊疗技术方案、操作规程的，得2分，否则按以下情形扣分：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①缺一项扣0.4分/科，扣完为止；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②无相关材料扣0.4分/科，扣完为止。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09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3.严格执行《中医病历书写基本规范》和《中医电子病历基本规范（试行）》，中药处方格式及书写符合相关规定。</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10份以上门诊、住院病历、处方；现场检查病案科。</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病历书写、中药处方开具符合相关规定无误的，得2分，否则按以下情形扣分：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①病历书写不符合书写规范一例扣0.2分，扣完为止；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②处方书写不规范一例扣0.05分，扣完为止。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745"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1.严格执行确保医疗质量和医疗安全的核心制度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 xml:space="preserve">（1）首诊负责制             </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（2）医师查房制度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（3）疑难病例讨论制度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（4）会诊制度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（5）急危重患者抢救制度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（6）手术分级管理制度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（7）术前讨论制度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（8）死亡病例讨论制度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（9）值班和交接班制度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（10）查对制度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（11）病历管理制度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（12）临床用血审核制度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（13）分级护理制度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（14）手术安全核查制度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（15）新技术和新项目准入制度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（16）危急值报告制度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（17）抗菌药物分级管理制度</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（18）信息安全管理制度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5个科室病历及病区记录本（疑难病例讨论、死亡病例讨论、交接班登记、危重病人抢救登记、会诊登记、危急值登记本）；现场检查核心制度执行状况；抽查2位医务人员了解其对核心制度的知晓度和执行力。</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落实18项核心制度，科室记录完整，得5分；每发现1项核心制度不落实扣0.5分，扣完为止。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397"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（25分）</w:t>
            </w: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（四）医疗</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质量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2.实施院科两级质量管理，院科二级质控组织健全、职责明确、运行记录完善，医院领导参加医疗质量管理。工作制度健全、工作记录规范可信。</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查阅院科二级资料，要求院科二级质控组织人员落实、责任明确、质控工作记录规范可信</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查看院级科级质量管理制度、工作记录，制度、工作记录完整的，得1分，否则按以下情形扣分：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①无制度或记录扣0.2分，无材料扣0.5分；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②抽查2个科室质量管理材料，材料不全扣0.1分/科，无材料扣0.2分/科</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38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3.加强不良事件管理，有制度流程，有定期总结，分析，对一二级不良事件及频发的三四级不良事件开展根因分析，对突发公共卫生事件（含放射事件，传染病疫情）要及时有效处理。</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查阅相关制度流程及总结分析记录。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有不良事件管理制度并制定流程、定期总结、分析原因、及时上报的，得2分，否则按以下情形扣分：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①无制度流程扣0.5分；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②无定期总结分析扣0.5分；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③有重大不良事件及突发公共卫生事件瞒报情况不得分。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42"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（五）手术（1.5分）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实行手术医师资格准入制度和手术分级授权管理制度，建立定期手术医师资格和能力评价与再授权的机制。建立手术安全核查、风险评估制度与工作流程。</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抽查3项限制类技术手术备案情况，备案与手术分级相符得1.5分，否则扣0.5分/人，违背伦理或者伦理论证不合格开展的手术扣0.5分/例，开展禁止类手术不得分。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67"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（六）麻醉（1.5分）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制定麻醉医师资格分级授权管理制度与规范，以及定期能力评价与再授权的机制，麻醉人员配备合理。</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抽查3名麻醉医师授权材料，符合要求的得1.5分，否则扣0.5分/人</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69"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（一）医院</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药事管理组织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是否定期对临床使用中药进行监督、评价和指导，合理遴选医疗机构内使用的中药。</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查阅评审周期相关资料，实地考查。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成立药事管理与药物治疗学组并对临床使用中药进行监督、评价和指导，得1分，否则不得分。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3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1.设有中药饮片库房、中药饮片调剂室、中成药库房、中成药调剂室（含与西药房合并建设）、中药煎药室。</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药房设置齐全，得0.6分，否则每少1个部门（组），扣0.1分。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6"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2.中药房应当远离各种污染源，设置中药饮片调剂室、中成药调剂室、中药煎药室应配备有效的通风、除尘、防积水以及消防等设施。</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药房设置符合规范的，得0.4分，否则按以下情形扣分：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①中药房距各种污染源较近，扣0.1分；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②缺少有效的通风、除尘、防积水、消防设施，每少一种扣0.1分，扣完为止。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（8分）</w:t>
            </w: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3.中成药调剂室、中药饮片调剂室面积应当与医院的规模和业务需求相适应。</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①中药房的面积与医院的规模和业务需求不符合的，扣0.3分；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②中成药调剂室的面积与医院的规模和业务需求不符合的，扣0.3分。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1"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4.中药房的设备（器具）应当与医院的规模和业务需求相适应。</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设备（器具）与医院的规模和业务需求相适应，得1分，否则不得分。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参考设备（器具）清单：药架（柜、斗、罐）、戥秤（或电子秤、台秤）、冰箱（冷藏柜）、空调、除湿器、打粉机（或捣药盅、铜盅）、药勺、保险柜、煎药锅（或煎药机）及包装设备等。</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22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中药饮片质量验收负责人应为具有中级以上专业技术职务任职资格和中药饮片鉴别经验的人员或具有丰富中药饮片鉴别经验的老药工。中药饮片调剂复核人员应具有主管中药师以上专业技术职务任职资格（小包装饮片的复核人员应具有中药师以上专业技术职务任职资格）。煎药室负责人应具有中药师以上专业技术职务任职资格，煎药人员应为中药学专业人员或经培训取得相应资格的人员。</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查阅评审周期的人事档案及相关证明资料。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各相应人员符合规范的，得2分，否则按以下情形扣分：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①中药饮片质量验收负责人不符合要求，扣0.2分；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②中药饮片调剂复核人员不符合要求，扣0.2分；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③煎药室负责人不符合要求，扣0.2分；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④煎药人员不符合要求的，扣0.2分/人，扣完为止。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2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1.建立中药饮片采购制度，采购程序符合相关规定，供应商资质齐全并对其定期评估。</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查阅相关资料（如中药饮片采购制度、采购计划、供应商资质档案、评估记录等），实地考查。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无中药采购制度或供应商资质不符合要求，或有伪药及明令禁止购销的产品，或采购制度不完善得0.5分，否则不得分；未发现伪药或对供应商评估记录完整得0.5分，否则不得分。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8"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2.中药饮片验收管理制度健全并落实到位，记录完整。</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查阅中药饮片验收管理资料及评审周期的进货质量验收记录或入库清单。</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中药饮片验收管理制度健全且记录完整的，得0.5分，否则按以下情形扣分：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①无制度或无记录，不得分；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②制度不完善，扣0.1分；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③记录不完整，扣0.1分。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0"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五、药事</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（8分）</w:t>
            </w:r>
          </w:p>
        </w:tc>
        <w:tc>
          <w:tcPr>
            <w:tcW w:w="473"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（三）药房</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3.中药储存管理规范，有保证质量的管理制度和设施条件，做到定期养护。</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查阅相关资料，并实地考查。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中药储存符合规范、有管理制度、设施条件符合规范、定期养护的，得0.5分，否则按以下情形扣分：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①中药饮片有变质、霉变、生虫、串药等现象或无储存管理规范、制度，不得分；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②设施条件不完善，扣0.1分；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③养护记录不完整，扣0.1分。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4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4.建立中药饮片处方调剂制度和操作规范，严格处方的审核和调剂复核，调剂复核率100%，每剂重量误差应在±5%以内。严格执行中药饮片处方用名和调剂给付有关规定。</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查阅相关资料，实地考查，并抽查1日中药饮片处方和调剂后的中药饮片处方20剂。</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有中药饮片调剂制度和操作规范，操作符合规定的，得1分，否则按以下情形扣分：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①无饮片调剂制度和操作规范，不得分；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②未按规定审核或无复核签字，每张处方扣0.05分（最多扣0.3分）；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③重量误差不符合要求，每剂扣0.05分（最多扣0.2分）。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3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5.中药制剂的配制管理规范，委托加工的制剂须经相应部门批准，按照相关的规定执行。</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查阅相关资料，并实地考查。</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有中药制剂的配置管理规范，各项操作符合规定的，得0.5分，否则按以下情形扣分：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①无制剂配制记录或未经批准委托加工或委托加工批件不符合规定，不得分；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②配制记录不完善，扣0.2分。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2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6.建立中药安全性监测管理制度和中药药品不良反应事件报告制度，按规定报告中药不良反应。</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查阅评审周期内相关资料，随机抽查3份归档病历。</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有中药安全性监测管理制度和中药不良反应事件报告制度，按规定报告中药不良反应的，得0.5分，否则按以下情形扣分：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①无制度，或无中药不良反应报告记录，不得分；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②未按照规定上报不良反应，每例扣0.2分，扣完为止。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89"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7.定期开展中药处方评价工作，规范处方（用药医嘱）开具、审核、调配、核发、用药指导等行为。</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查阅评审周期相关资料，并实地核查。随机抽查某日中药饮片处方30张、住院病历5份。</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定期开展中药处方评价工作，规范处方（用药医嘱）开具、审核、调配、核发、用药指导等行为的，得1分，否则不得分。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0"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六、护理（10分）</w:t>
            </w: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管理组织</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1.严格执行《护士条例》，参照《中医医院中医护理工作指南（试行）》实施护理管理，医院年度工作计划中有相应的措施。</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查看医院本年度工作计划、实施工作记录等</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医院年度工作计划中有护理管理工作内容，得2分，否则不得分。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2.建立健全护理工作制度、各级各类护理人员岗位职责，并定期修订，汇编成册。</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查年护理部的制度汇编</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未汇编成册或不全面扣0.05分，未定期修订扣0.05分。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4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3.制定符合本院实际的中医护理常规、护理技术操作规程、护理应急预案、关键环节服务流程等，并定期修订，汇编成册。</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未汇编成册或不全面扣0.05分，未定期修订扣0.05分。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人力资源管理（2.5分）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1.制定有各级各类护理人员的培训计划并组织实施。</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查阅护理部及病区培训计划及相关证明材料。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无培训计划扣0.1分；未组织实施扣0.1分；计划内涵不足或实施证明材料不全分别扣0.1分。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2.各级各类护理人员知晓岗位职责。</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提问不同类别的护理人员</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完全不知晓每名扣0.02分，知晓不全每名扣0.01分。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（三）护理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组织实施管理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1.严格落实医疗核心制度（护理相关），确保患者安全。</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查阅护理文书、护理不良事件报告及各类护理管理记录资料；现场查各项制度的落实情况 。</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未落实一项制度扣0.01分，直到扣完此条目总分。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90"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vMerge w:val="continue"/>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2.开展与医院功能相匹配的中医特色护理服务，满足患者对中医药服务的需求。全院开展中医护理技术项目数不低于5项。护士掌握疾病护理常规及护理技术操作规程，能提供具有中医特色的健康教育和康复指导。</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查阅HIS系统中统计的中医护理技术的总项目数；现场查看科室患者的护理常规落实情况；抽考护士中医护理技术操作。</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全院未达到5项，每少一项扣0.01分；护理常规未落实扣0.01分；护士操作考核不合格扣0.01分。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27"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（一）设置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临床检验部门设置、布局、设备设施符合《医疗机构临床实验室管理办法》，临床检验项目满足临床需要，对本院临床诊疗临时需要，而不能提供的特殊检验项目，可委托其他三级甲等医院或具备资质的独立的检验机构提供服务或多院联合开展服务，但应签署医院之间的委托服务协议，有质量保证条款，能提供24小时急诊检验服务，明确急诊检验报告时间，临检项目≤30分钟出报告，生化、免疫项目≤2小时出报告。检验项目、设备、试剂及校准品管理符合现行法律法规及卫生行政部门标准的要求。</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查阅相关资料并实地考察。抽查临检、微生物、免疫、生化等专业项目，现场查看，抽查检验报告</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临床检验部门设置符合规范、服务能力符合要求的，得1分，否则按以下情况扣分，扣完为止：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①实验室设置必须符合生物安全规范，满足且完成生物安全Ⅱ级防护实验室备案，未备案扣1分；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②实验室未集中设置、统一管理扣0.1分；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③不能提供24小时急诊检验服务，扣0.1分；检验报告时间不符合要求，每项扣0.1分。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④检验技术人员依规持证上岗，检验仪器设备、试剂三证齐全，在有效期内使用；检验项目及方法学设置符合卫生行政部门规范。发现不符扣0.1分。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⑤检验科必须建立室内控制体系，并参加国家卫健委临床检验中心或广西壮族自治区临床检验中心的室间质评活动（三级医院检验科参加国家卫健委临床检验中心室间质评，一、二级医院检验科参加自治区临床检验中心室间质评）。无室内质控或未参加相应室间质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4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（二）人员</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由具备临床检验专业资质的人员进行临床检验活动，解释检查结果。</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查阅相关资料，实地考察</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人员资质符合要求的，得1分，否则按以下情形扣分，扣完为止：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①资质不符合要求，每人扣0.2分；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②分子生物学实验室、HIV初筛实验室及签发HIV初筛报告检验人员无上岗证，每人扣0.2；</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③无具有相关资质的专业人员负责结果解释工作，扣0.2分。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3"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（三）规章</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（0.4分）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有实验室安全流程，制度及相应的标准操作流程，检查报告审核制度、质量与安全管理制度等。</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①无实验室安全流程，扣0.1分；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②无制度及相应的标准操作流程，扣0.1分；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③无检查报告审核制度，扣0.1分；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④无质量与安全管理制度的，扣0.1分。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80"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（四）检验质量（0.6分）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检验报告及时、准确、规范，严格审核制度。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随机查阅检验报告，现场考核检验人员操作及报告准确度。抽查10份检验报告单（覆盖血液、体液、生化、免疫、微生物、分子等专业）。</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检验报告及时、准确、规范，严格审核制度的，得0.6分，否则按以下情形扣分：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①无校准验证、能力验证、室内质控或室间质评制度，少一项扣0.1分；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②报告格式不规范，每份扣0.02分；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③检验报告单未执行双签字（急诊除外），每份扣0.02分。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0.6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01"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病理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（五）设置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病理科设置、布局、设备设施符合病理科建设与管理指南的要求，服务项目满足临床诊疗需要。从事病理诊断工作和技术工作的人员资质符合病理科建设与管理指南要求，诊断质量符合相关规定。</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查阅相关资料，实地考察</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独立设置病理科建设符合要求、服务项目能满足诊疗需要、人员符合要求、诊断质量符合标准的，委托第三方开展病理检查的协议内容体现病理开展有关条件，得1分，否则按以下情形扣分：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①设置布局不合理、不符合生物安全要求，每项扣0.05分。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②服务项目不能满足临床需要，扣0.05分。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③人员配备不能满足工作需要，扣0.01分；报告医师不符合要求，每人扣0.02分；其他人员未经培训，每人扣0.01分；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④委托第三方开展病理检查未签署委托服务协议，不得分。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767"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输血</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（六）设置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落实《中华人民共和国献血法》《医疗机构临床用血管理办法（试行）》和《临床输血技术规范》等有关法律和规范，制定输血管理制度，并落实。</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查阅相关资料，实地考察，抽查5份运行或归档的输血病历。抽查1名医务人员。</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有相关输血管理制度并落实，临床用血符合相关管理规定的，得1分，否则按以下情形扣分：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①无相关制度和实施细则，扣0.1分，内容未涵盖全过程，扣0.02分。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②对医务人员未进行相关培训，扣0.1分。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③无用血计划，扣0.02分；无分级管理制度，扣0.02分；未定期进行用血评价及公示，扣0.02分。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④未进行血型及感染筛查（肝功能、乙肝五项、HCV、HIV、梅毒抗体）的相关检测，每份扣0.03分；未签署“输血治疗知情同意书”，每份扣0.03分。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⑤无输血适应症管理规定，不得分；无用血后效果评价管理要求及评价，不得分；医院无输血指征综合评估的指标，扣0.05分。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⑥无自体输血、围手术期血液保护等输血技术管理制度，不得分。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133"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（七）设置</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医学影像（普通放射、CT、MRl、超声、核素成像等）部门设置、布局、设备设施符合《放射诊疗管理规定》，通过医疗机构执业诊疗科目许可登记，取得《放射诊疗许可证》，服务满足临床需要。</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现场查看</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医学影像部门设置、布局、设备设施符合《放射诊疗管理规定》，通过医疗机构执业诊疗科目许可登记，取得《放射诊疗许可证》，服务满足临床需要的，得1分，否则按以下情形扣分：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①未取得《放射诊疗许可证》，或《许可证》诊疗项目与诊疗服务不符合，不得分；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②X线影像、超声检查、CT不能提供24小时急诊（包括床边急诊）检查服务，每项扣0.1分。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1"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七、医技</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科室</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（八）执业</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按规定办理《放射诊疗许可证》。</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核查医疗机构的放射诊疗设备情况。</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按规定办理《放射诊疗许可证》的，得1分，否则按以下情形扣分，扣完为止：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①使用放射诊疗设备但未办理《放射诊疗许可证》或未按期申请《放射诊疗许可证》校验，扣1分。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②使用的放射诊疗设备未登记的，每台扣0.1分。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③登记的放射诊疗设备及其工作场所未按规定进行年度防护、性能检测的，每台设备或场所扣0.1分。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96"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（九）人员</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由具备医学影像专业资质的人员进行医学影像检查活动，出具检查报告人员应具备执业医师资质。</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工作人员资质符合相关规定的，得1分，每发现1人资质不合格扣0.2分，扣完为止。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928"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（十）规章</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规章制度健全，有岗位职责、技术操作规范、质量控制制度、医学影像诊断报告审核制度、医学影像设备定期监测制度、环境保护、受检者防护及工作人员职业健康防护等相关制度；制定放射安全事件应急预案，有必要的紧急意外抢救药品器材，相关人员具备紧急抢救能力，有与临床科室紧急呼救与支援的机制与流程。</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规章制度健全的得1分，否则按以下情形扣分：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①无规章制度和技术操作规范，不得分；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②未制定质控指标，扣0.1分。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③未开展设备年度安全检查，或无定期校正和维护记录，扣0.1分；设备运行完好率＜95%，扣0.05分。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 xml:space="preserve">④未对受检者敏感器官和组织进行屏蔽防护，扣0.1分；未给工作人员提供完整的放射防护器材与个人防护用品，扣0.1分：未为影像科人员佩戴个人放射剂量计，扣0.1分；             </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⑤科室无紧急意外抢救预案，扣0.1分；缺少必要的紧急意外抢救药品器材，扣0.1分；无与临床科室紧急呼救与支援的机制与流程，扣0.05分。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048"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医学影像</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（十一）质量（1分）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检查报告及时、准确、规范，严格审核制度。</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抽查评审周期X线影像、超声检查、CT（MRI）或核素成像各5份报告。</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检查报告及时、准确、规范，严格执行审核制度的，得1分，否则按以下情形扣分：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①出具报告医师资质、报告时间、报告流程不符合要求，每发现一处扣0.05分。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②未执行审核制度，每份扣0.05分。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③无质量评价，或未确立质量指标，扣0.03分。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781"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（一）管理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组织</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根据《医院感染管理办法》建立健全医院感染管理，职责明确。院感专（兼）职人员配置符合《医院感染监测标准》要求；定期接受监测与感染管理知识、技能的培训并熟练掌握。</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查看相关资料。</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医院感染管理组织建设及专职人员管理符合要求，得1.5分；否则按以下情形扣分，扣完为止：</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①管理组织不健全，扣1分，未正式印发文件，扣0.2分；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②未明确工作职责，扣0.5分。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③未配备院感专（兼）职人员，扣0.5分；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④无专职人员参加医院感染培训记录或资料，扣0.5分。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405"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（二）管理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制度</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医院应按《医疗机构感染预防与控制基本制度（试行）》《中医技术相关性感染预防与控制指南 （试行）》等要求，建立适合本院实际情况的医院感染预防与控制制度、工作流程，并根据最新要求及时修订。</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查看医院感染基本制度、工作流程。</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制定感控分级管理、监测及报告、标准预防措施（手卫生）执行管理、感控风险评估、多重耐药菌感染预防与控制、侵入性器械/操作相关感染防控、培训教育、医院感染暴发报告及处置、医务人员感染性病原体职业暴露预防与处置、医疗机构内传染病相关感染预防与控制、中医技术相关性感染预防与控制制度，每缺一项扣0.2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②抽查制度或工作流程，发现与医院实际情况不符，扣0.2分/项，扣完为止。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540" w:hRule="atLeast"/>
        </w:trPr>
        <w:tc>
          <w:tcPr>
            <w:tcW w:w="371" w:type="pct"/>
            <w:vMerge w:val="continue"/>
            <w:tcBorders>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（三）医务人员培训及考核（2分）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按照《医院感染管理专业人员培训指南》《病区医院感染管理规范》等要求，每年开展院感专职人员和院科两级医院感染防控相关知识培训，医务人员能正确掌握医院感染防控知识。</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查看培训计划与记录等相关资料，现场访谈1-3名工作人员</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未制定医院感染防控相关知识培训考核计划并实施，扣1分；未开展院级培训考核，扣0.5分；未开展科级培训考核，扣0.1分/科。</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140"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（四）医院感染监测与质控管理</w:t>
            </w:r>
          </w:p>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根据《医院感染监测标准》等，有效落实医院感染各项监测工作，定期分析总结，开展感染风险评估和医院感染质控管理，检查感染防控与制度落实情况，采取针对性的预防与控制措施，持续改进。并定期反馈。</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查阅监测计划、监测记录、监测总结、分析等</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 xml:space="preserve">①未开展监测工作，不得分；全院性综合监测、目标性监测、消毒灭菌效果监测，监测项目不全，缺一项扣0.3分；无持续改进，扣0.3分/项；  </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②发生医院感染暴发未报告不得分；发生疑似医院感染暴发或聚集事件未进行调查和处置，无记录，扣1分/次。</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③未开展医院感染质控管理，扣1分。</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④未定期将监测数据在全院发布，扣0.5分。</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540" w:hRule="atLeast"/>
        </w:trPr>
        <w:tc>
          <w:tcPr>
            <w:tcW w:w="371" w:type="pct"/>
            <w:vMerge w:val="restart"/>
            <w:tcBorders>
              <w:top w:val="single" w:color="000000" w:sz="4" w:space="0"/>
              <w:left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八、院内</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感染管理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（15分）</w:t>
            </w: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（五）消毒隔离防护措施与重点部门管理（3.5分）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根据《传染病防治法》《医疗机构消毒技术规范》《医院隔离技术标准》《中医技术相关性感染预防与控制指南 （试行）》《医院消毒供应中心管理规范》《多重耐药菌医院感染预防与控制技术指南（试行）》等要求，落实消毒隔离防护措施和专科感染防控措施。急诊科、检验科、放射科、手术室、口腔科等的布局流程及运行管理符合相关院感要求。</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抽查2个医院感染重点部门和1个普通临床科室</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①标准预防措施或专科感染防控措施落实欠规范，扣0.2分/处。</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②各类医疗器械、医疗用品的消毒、灭菌方式方法不符合要求，扣0.2分/处。</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③未对疑似/确诊的传染病患者或多重耐药菌感染/定植患者采取有效消毒隔离措施，扣0.3分/人。</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④重点部门建筑布局流程不合理，扣0.3分/部门；</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⑤重点部门未建立与本科室相关感染防控制度扣0.2分/部门，扣完为止。</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3.5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371" w:type="pct"/>
            <w:vMerge w:val="continue"/>
            <w:tcBorders>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p>
        </w:tc>
        <w:tc>
          <w:tcPr>
            <w:tcW w:w="473"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（六）手卫生（2分）</w:t>
            </w:r>
          </w:p>
        </w:tc>
        <w:tc>
          <w:tcPr>
            <w:tcW w:w="148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根据《医务人员手卫生规范》，将手卫生纳入医院医疗质量考核；开展手卫生知识与技能培训、手卫生依从性及消毒效果监测；手卫生设施设置齐全，符合要求。</w:t>
            </w:r>
          </w:p>
        </w:tc>
        <w:tc>
          <w:tcPr>
            <w:tcW w:w="674"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查看制度、培训记录、监测记录等资料，抽查2个临床科室，1-3名医务人员</w:t>
            </w:r>
          </w:p>
        </w:tc>
        <w:tc>
          <w:tcPr>
            <w:tcW w:w="1780"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left"/>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①未将手卫生纳入院科两级监测和医院医疗质量考核，扣0.2分/项/级或科；</w:t>
            </w:r>
            <w:r>
              <w:rPr>
                <w:rFonts w:hint="eastAsia" w:ascii="宋体" w:hAnsi="宋体" w:eastAsia="宋体" w:cs="宋体"/>
                <w:i w:val="0"/>
                <w:iCs w:val="0"/>
                <w:color w:val="auto"/>
                <w:kern w:val="0"/>
                <w:sz w:val="18"/>
                <w:szCs w:val="18"/>
                <w:u w:val="none"/>
                <w:lang w:val="en-US" w:eastAsia="zh-CN" w:bidi="ar"/>
              </w:rPr>
              <w:br w:type="textWrapping"/>
            </w:r>
            <w:r>
              <w:rPr>
                <w:rFonts w:hint="eastAsia" w:ascii="宋体" w:hAnsi="宋体" w:eastAsia="宋体" w:cs="宋体"/>
                <w:i w:val="0"/>
                <w:iCs w:val="0"/>
                <w:color w:val="auto"/>
                <w:kern w:val="0"/>
                <w:sz w:val="18"/>
                <w:szCs w:val="18"/>
                <w:u w:val="none"/>
                <w:lang w:val="en-US" w:eastAsia="zh-CN" w:bidi="ar"/>
              </w:rPr>
              <w:t>②手卫生设施配备不符合标准，扣0.2分/项。</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4783" w:type="pct"/>
            <w:gridSpan w:val="5"/>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总计</w:t>
            </w:r>
          </w:p>
        </w:tc>
        <w:tc>
          <w:tcPr>
            <w:tcW w:w="216" w:type="pct"/>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宋体" w:hAnsi="宋体" w:eastAsia="宋体" w:cs="宋体"/>
                <w:i w:val="0"/>
                <w:iCs w:val="0"/>
                <w:color w:val="auto"/>
                <w:kern w:val="0"/>
                <w:sz w:val="18"/>
                <w:szCs w:val="18"/>
                <w:u w:val="none"/>
                <w:lang w:val="en-US" w:eastAsia="zh-CN" w:bidi="ar"/>
              </w:rPr>
            </w:pPr>
            <w:r>
              <w:rPr>
                <w:rFonts w:hint="eastAsia" w:ascii="宋体" w:hAnsi="宋体" w:eastAsia="宋体" w:cs="宋体"/>
                <w:i w:val="0"/>
                <w:iCs w:val="0"/>
                <w:color w:val="auto"/>
                <w:kern w:val="0"/>
                <w:sz w:val="18"/>
                <w:szCs w:val="18"/>
                <w:u w:val="none"/>
                <w:lang w:val="en-US" w:eastAsia="zh-CN" w:bidi="ar"/>
              </w:rPr>
              <w:t>100</w:t>
            </w:r>
          </w:p>
        </w:tc>
      </w:tr>
    </w:tbl>
    <w:p>
      <w:pPr>
        <w:pStyle w:val="2"/>
        <w:ind w:left="0" w:leftChars="0" w:firstLine="0" w:firstLineChars="0"/>
        <w:rPr>
          <w:rFonts w:hint="default"/>
          <w:lang w:val="en-US" w:eastAsia="zh-CN"/>
        </w:rPr>
      </w:pPr>
    </w:p>
    <w:p>
      <w:pPr>
        <w:rPr>
          <w:rFonts w:hint="default"/>
          <w:lang w:val="en-US" w:eastAsia="zh-CN"/>
        </w:rPr>
        <w:sectPr>
          <w:pgSz w:w="16838" w:h="11906" w:orient="landscape"/>
          <w:pgMar w:top="1701" w:right="1417" w:bottom="1417" w:left="1701" w:header="851" w:footer="992" w:gutter="0"/>
          <w:pgBorders>
            <w:top w:val="none" w:sz="0" w:space="0"/>
            <w:left w:val="none" w:sz="0" w:space="0"/>
            <w:bottom w:val="none" w:sz="0" w:space="0"/>
            <w:right w:val="none" w:sz="0" w:space="0"/>
          </w:pgBorders>
          <w:cols w:space="720"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b w:val="0"/>
          <w:bCs w:val="0"/>
          <w:color w:val="auto"/>
          <w:sz w:val="32"/>
          <w:szCs w:val="32"/>
          <w:lang w:val="en-US" w:eastAsia="zh-CN"/>
        </w:rPr>
      </w:pPr>
      <w:r>
        <w:rPr>
          <w:rFonts w:hint="eastAsia" w:ascii="黑体" w:hAnsi="黑体" w:eastAsia="黑体" w:cs="黑体"/>
          <w:b w:val="0"/>
          <w:bCs w:val="0"/>
          <w:color w:val="auto"/>
          <w:sz w:val="32"/>
          <w:szCs w:val="32"/>
          <w:lang w:val="en-US" w:eastAsia="zh-CN"/>
        </w:rPr>
        <w:t>附件4</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textAlignment w:val="auto"/>
        <w:rPr>
          <w:rFonts w:hint="eastAsia" w:ascii="黑体" w:hAnsi="黑体" w:eastAsia="黑体" w:cs="黑体"/>
          <w:b w:val="0"/>
          <w:bCs w:val="0"/>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color w:val="auto"/>
          <w:sz w:val="44"/>
          <w:szCs w:val="44"/>
          <w:highlight w:val="none"/>
        </w:rPr>
      </w:pPr>
      <w:r>
        <w:rPr>
          <w:rFonts w:hint="eastAsia" w:ascii="方正小标宋简体" w:hAnsi="方正小标宋简体" w:eastAsia="方正小标宋简体" w:cs="方正小标宋简体"/>
          <w:color w:val="auto"/>
          <w:sz w:val="44"/>
          <w:szCs w:val="44"/>
        </w:rPr>
        <w:t>广西壮族自治区</w:t>
      </w:r>
      <w:r>
        <w:rPr>
          <w:rFonts w:hint="eastAsia" w:ascii="方正小标宋简体" w:hAnsi="方正小标宋简体" w:eastAsia="方正小标宋简体" w:cs="方正小标宋简体"/>
          <w:color w:val="auto"/>
          <w:sz w:val="44"/>
          <w:szCs w:val="44"/>
          <w:highlight w:val="none"/>
        </w:rPr>
        <w:t>中医</w:t>
      </w:r>
      <w:r>
        <w:rPr>
          <w:rFonts w:hint="eastAsia" w:ascii="方正小标宋简体" w:hAnsi="方正小标宋简体" w:eastAsia="方正小标宋简体" w:cs="方正小标宋简体"/>
          <w:color w:val="auto"/>
          <w:sz w:val="44"/>
          <w:szCs w:val="44"/>
          <w:highlight w:val="none"/>
          <w:lang w:eastAsia="zh-CN"/>
        </w:rPr>
        <w:t>医疗机构执业</w:t>
      </w:r>
      <w:r>
        <w:rPr>
          <w:rFonts w:hint="eastAsia" w:ascii="方正小标宋简体" w:hAnsi="方正小标宋简体" w:eastAsia="方正小标宋简体" w:cs="方正小标宋简体"/>
          <w:color w:val="auto"/>
          <w:sz w:val="44"/>
          <w:szCs w:val="44"/>
          <w:highlight w:val="none"/>
        </w:rPr>
        <w:t>校验</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highlight w:val="none"/>
        </w:rPr>
        <w:t>现场审查</w:t>
      </w:r>
      <w:r>
        <w:rPr>
          <w:rFonts w:hint="eastAsia" w:ascii="方正小标宋简体" w:hAnsi="方正小标宋简体" w:eastAsia="方正小标宋简体" w:cs="方正小标宋简体"/>
          <w:color w:val="auto"/>
          <w:sz w:val="44"/>
          <w:szCs w:val="44"/>
          <w:lang w:eastAsia="zh-CN"/>
        </w:rPr>
        <w:t>评分</w:t>
      </w:r>
      <w:r>
        <w:rPr>
          <w:rFonts w:hint="eastAsia" w:ascii="方正小标宋简体" w:hAnsi="方正小标宋简体" w:eastAsia="方正小标宋简体" w:cs="方正小标宋简体"/>
          <w:color w:val="auto"/>
          <w:sz w:val="44"/>
          <w:szCs w:val="44"/>
          <w:lang w:val="en-US" w:eastAsia="zh-CN"/>
        </w:rPr>
        <w:t>细则</w:t>
      </w:r>
      <w:r>
        <w:rPr>
          <w:rFonts w:hint="eastAsia" w:ascii="方正小标宋简体" w:hAnsi="方正小标宋简体" w:eastAsia="方正小标宋简体" w:cs="方正小标宋简体"/>
          <w:color w:val="auto"/>
          <w:sz w:val="44"/>
          <w:szCs w:val="44"/>
        </w:rPr>
        <w:t>说明</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szCs w:val="44"/>
        </w:rPr>
      </w:pPr>
    </w:p>
    <w:p>
      <w:pPr>
        <w:bidi w:val="0"/>
        <w:spacing w:line="540" w:lineRule="exact"/>
        <w:rPr>
          <w:rFonts w:hint="default" w:ascii="Times New Roman" w:hAnsi="Times New Roman" w:cs="Times New Roman"/>
          <w:color w:val="auto"/>
          <w:lang w:val="en-US" w:eastAsia="zh-CN"/>
        </w:rPr>
      </w:pPr>
      <w:r>
        <w:rPr>
          <w:rFonts w:hint="default" w:ascii="Times New Roman" w:hAnsi="Times New Roman" w:cs="Times New Roman"/>
          <w:color w:val="auto"/>
        </w:rPr>
        <w:t>一、</w:t>
      </w:r>
      <w:r>
        <w:rPr>
          <w:rFonts w:hint="eastAsia" w:ascii="Times New Roman" w:hAnsi="Times New Roman" w:cs="Times New Roman"/>
          <w:color w:val="auto"/>
          <w:lang w:val="en-US" w:eastAsia="zh-CN"/>
        </w:rPr>
        <w:t>评分细则</w:t>
      </w:r>
      <w:r>
        <w:rPr>
          <w:rFonts w:hint="default" w:ascii="Times New Roman" w:hAnsi="Times New Roman" w:cs="Times New Roman"/>
          <w:color w:val="auto"/>
        </w:rPr>
        <w:t>根据</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中医医院建设标准</w:t>
      </w:r>
      <w:r>
        <w:rPr>
          <w:rFonts w:hint="default" w:ascii="Times New Roman" w:hAnsi="Times New Roman" w:cs="Times New Roman"/>
          <w:color w:val="auto"/>
          <w:highlight w:val="none"/>
          <w:lang w:eastAsia="zh-CN"/>
        </w:rPr>
        <w:t>》</w:t>
      </w:r>
      <w:r>
        <w:rPr>
          <w:rFonts w:hint="default" w:ascii="Times New Roman" w:hAnsi="Times New Roman" w:cs="Times New Roman"/>
          <w:color w:val="auto"/>
          <w:lang w:eastAsia="zh-CN"/>
        </w:rPr>
        <w:t>《</w:t>
      </w:r>
      <w:r>
        <w:rPr>
          <w:rFonts w:hint="default" w:ascii="Times New Roman" w:hAnsi="Times New Roman" w:cs="Times New Roman"/>
          <w:color w:val="auto"/>
        </w:rPr>
        <w:t>中医医院医疗设备配置标准（试行</w:t>
      </w:r>
      <w:r>
        <w:rPr>
          <w:rFonts w:hint="default" w:ascii="Times New Roman" w:hAnsi="Times New Roman" w:cs="Times New Roman"/>
          <w:color w:val="auto"/>
          <w:lang w:eastAsia="zh-CN"/>
        </w:rPr>
        <w:t>》《</w:t>
      </w:r>
      <w:r>
        <w:rPr>
          <w:rFonts w:hint="default" w:ascii="Times New Roman" w:hAnsi="Times New Roman" w:cs="Times New Roman"/>
          <w:color w:val="auto"/>
        </w:rPr>
        <w:t>进一步明确全区医疗机构管理的有关规定</w:t>
      </w:r>
      <w:r>
        <w:rPr>
          <w:rFonts w:hint="default" w:ascii="Times New Roman" w:hAnsi="Times New Roman" w:cs="Times New Roman"/>
          <w:color w:val="auto"/>
          <w:lang w:eastAsia="zh-CN"/>
        </w:rPr>
        <w:t>》《</w:t>
      </w:r>
      <w:r>
        <w:rPr>
          <w:rFonts w:hint="default" w:ascii="Times New Roman" w:hAnsi="Times New Roman" w:cs="Times New Roman"/>
          <w:color w:val="auto"/>
        </w:rPr>
        <w:t>医疗机构不良执业行为记分管理暂行办法</w:t>
      </w:r>
      <w:r>
        <w:rPr>
          <w:rFonts w:hint="default" w:ascii="Times New Roman" w:hAnsi="Times New Roman" w:cs="Times New Roman"/>
          <w:color w:val="auto"/>
          <w:lang w:eastAsia="zh-CN"/>
        </w:rPr>
        <w:t>》《</w:t>
      </w:r>
      <w:r>
        <w:rPr>
          <w:rFonts w:hint="default" w:ascii="Times New Roman" w:hAnsi="Times New Roman" w:cs="Times New Roman"/>
          <w:color w:val="auto"/>
        </w:rPr>
        <w:t>医疗机构机构管理条例</w:t>
      </w:r>
      <w:r>
        <w:rPr>
          <w:rFonts w:hint="default" w:ascii="Times New Roman" w:hAnsi="Times New Roman" w:cs="Times New Roman"/>
          <w:color w:val="auto"/>
          <w:lang w:eastAsia="zh-CN"/>
        </w:rPr>
        <w:t>》《</w:t>
      </w:r>
      <w:r>
        <w:rPr>
          <w:rFonts w:hint="default" w:ascii="Times New Roman" w:hAnsi="Times New Roman" w:cs="Times New Roman"/>
          <w:color w:val="auto"/>
        </w:rPr>
        <w:t>放射诊疗管理规定</w:t>
      </w:r>
      <w:r>
        <w:rPr>
          <w:rFonts w:hint="default" w:ascii="Times New Roman" w:hAnsi="Times New Roman" w:cs="Times New Roman"/>
          <w:color w:val="auto"/>
          <w:lang w:eastAsia="zh-CN"/>
        </w:rPr>
        <w:t>》《</w:t>
      </w:r>
      <w:r>
        <w:rPr>
          <w:rFonts w:hint="default" w:ascii="Times New Roman" w:hAnsi="Times New Roman" w:cs="Times New Roman"/>
          <w:color w:val="auto"/>
        </w:rPr>
        <w:t>医疗器械监督管理条例</w:t>
      </w:r>
      <w:r>
        <w:rPr>
          <w:rFonts w:hint="default" w:ascii="Times New Roman" w:hAnsi="Times New Roman" w:cs="Times New Roman"/>
          <w:color w:val="auto"/>
          <w:lang w:eastAsia="zh-CN"/>
        </w:rPr>
        <w:t>》《</w:t>
      </w:r>
      <w:r>
        <w:rPr>
          <w:rFonts w:hint="default" w:ascii="Times New Roman" w:hAnsi="Times New Roman" w:cs="Times New Roman"/>
          <w:color w:val="auto"/>
        </w:rPr>
        <w:t>大型医用设备配置与使用管理办法》（试行）、《母婴保健法</w:t>
      </w:r>
      <w:r>
        <w:rPr>
          <w:rFonts w:hint="default" w:ascii="Times New Roman" w:hAnsi="Times New Roman" w:cs="Times New Roman"/>
          <w:color w:val="auto"/>
          <w:lang w:eastAsia="zh-CN"/>
        </w:rPr>
        <w:t>》《</w:t>
      </w:r>
      <w:r>
        <w:rPr>
          <w:rFonts w:hint="default" w:ascii="Times New Roman" w:hAnsi="Times New Roman" w:cs="Times New Roman"/>
          <w:color w:val="auto"/>
        </w:rPr>
        <w:t>母婴保健专项技术服务许可及人员资格管理办法</w:t>
      </w:r>
      <w:r>
        <w:rPr>
          <w:rFonts w:hint="default" w:ascii="Times New Roman" w:hAnsi="Times New Roman" w:cs="Times New Roman"/>
          <w:color w:val="auto"/>
          <w:lang w:eastAsia="zh-CN"/>
        </w:rPr>
        <w:t>》《</w:t>
      </w:r>
      <w:r>
        <w:rPr>
          <w:rFonts w:hint="default" w:ascii="Times New Roman" w:hAnsi="Times New Roman" w:cs="Times New Roman"/>
          <w:color w:val="auto"/>
        </w:rPr>
        <w:t>母婴保健法实施办法</w:t>
      </w:r>
      <w:r>
        <w:rPr>
          <w:rFonts w:hint="default" w:ascii="Times New Roman" w:hAnsi="Times New Roman" w:cs="Times New Roman"/>
          <w:color w:val="auto"/>
          <w:lang w:eastAsia="zh-CN"/>
        </w:rPr>
        <w:t>》《</w:t>
      </w:r>
      <w:r>
        <w:rPr>
          <w:rFonts w:hint="default" w:ascii="Times New Roman" w:hAnsi="Times New Roman" w:cs="Times New Roman"/>
          <w:color w:val="auto"/>
        </w:rPr>
        <w:t>住院病案首页数据填写质量规范（暂行）</w:t>
      </w:r>
      <w:r>
        <w:rPr>
          <w:rFonts w:hint="default" w:ascii="Times New Roman" w:hAnsi="Times New Roman" w:cs="Times New Roman"/>
          <w:color w:val="auto"/>
          <w:lang w:eastAsia="zh-CN"/>
        </w:rPr>
        <w:t>》《</w:t>
      </w:r>
      <w:r>
        <w:rPr>
          <w:rFonts w:hint="default" w:ascii="Times New Roman" w:hAnsi="Times New Roman" w:cs="Times New Roman"/>
          <w:color w:val="auto"/>
        </w:rPr>
        <w:t>关于印发电子病历系统应用水平分级评价管理办法（试行）及评价标准（试行）的通知</w:t>
      </w:r>
      <w:r>
        <w:rPr>
          <w:rFonts w:hint="default" w:ascii="Times New Roman" w:hAnsi="Times New Roman" w:cs="Times New Roman"/>
          <w:color w:val="auto"/>
          <w:lang w:eastAsia="zh-CN"/>
        </w:rPr>
        <w:t>》《</w:t>
      </w:r>
      <w:r>
        <w:rPr>
          <w:rFonts w:hint="default" w:ascii="Times New Roman" w:hAnsi="Times New Roman" w:cs="Times New Roman"/>
          <w:color w:val="auto"/>
        </w:rPr>
        <w:t>医疗机构管理条例</w:t>
      </w:r>
      <w:r>
        <w:rPr>
          <w:rFonts w:hint="default" w:ascii="Times New Roman" w:hAnsi="Times New Roman" w:cs="Times New Roman"/>
          <w:color w:val="auto"/>
          <w:lang w:eastAsia="zh-CN"/>
        </w:rPr>
        <w:t>》《</w:t>
      </w:r>
      <w:r>
        <w:rPr>
          <w:rFonts w:hint="default" w:ascii="Times New Roman" w:hAnsi="Times New Roman" w:cs="Times New Roman"/>
          <w:color w:val="auto"/>
        </w:rPr>
        <w:t>医疗机构消防安全管理九项规定（2020年版）</w:t>
      </w:r>
      <w:r>
        <w:rPr>
          <w:rFonts w:hint="default" w:ascii="Times New Roman" w:hAnsi="Times New Roman" w:cs="Times New Roman"/>
          <w:color w:val="auto"/>
          <w:lang w:eastAsia="zh-CN"/>
        </w:rPr>
        <w:t>》《</w:t>
      </w:r>
      <w:r>
        <w:rPr>
          <w:rFonts w:hint="default" w:ascii="Times New Roman" w:hAnsi="Times New Roman" w:cs="Times New Roman"/>
          <w:color w:val="auto"/>
        </w:rPr>
        <w:t>医疗机构药事管理规定</w:t>
      </w:r>
      <w:r>
        <w:rPr>
          <w:rFonts w:hint="default" w:ascii="Times New Roman" w:hAnsi="Times New Roman" w:cs="Times New Roman"/>
          <w:color w:val="auto"/>
          <w:lang w:eastAsia="zh-CN"/>
        </w:rPr>
        <w:t>》《</w:t>
      </w:r>
      <w:r>
        <w:rPr>
          <w:rFonts w:hint="default" w:ascii="Times New Roman" w:hAnsi="Times New Roman" w:cs="Times New Roman"/>
          <w:color w:val="auto"/>
        </w:rPr>
        <w:t>麻醉药品和精神药品管理条例</w:t>
      </w:r>
      <w:r>
        <w:rPr>
          <w:rFonts w:hint="default" w:ascii="Times New Roman" w:hAnsi="Times New Roman" w:cs="Times New Roman"/>
          <w:color w:val="auto"/>
          <w:lang w:eastAsia="zh-CN"/>
        </w:rPr>
        <w:t>》《</w:t>
      </w:r>
      <w:r>
        <w:rPr>
          <w:rFonts w:hint="default" w:ascii="Times New Roman" w:hAnsi="Times New Roman" w:cs="Times New Roman"/>
          <w:color w:val="auto"/>
        </w:rPr>
        <w:t>医疗用毒性药品管理办法</w:t>
      </w:r>
      <w:r>
        <w:rPr>
          <w:rFonts w:hint="default" w:ascii="Times New Roman" w:hAnsi="Times New Roman" w:cs="Times New Roman"/>
          <w:color w:val="auto"/>
          <w:lang w:eastAsia="zh-CN"/>
        </w:rPr>
        <w:t>》《</w:t>
      </w:r>
      <w:r>
        <w:rPr>
          <w:rFonts w:hint="default" w:ascii="Times New Roman" w:hAnsi="Times New Roman" w:cs="Times New Roman"/>
          <w:color w:val="auto"/>
        </w:rPr>
        <w:t>无烟医疗卫生机构标准（试行）</w:t>
      </w:r>
      <w:r>
        <w:rPr>
          <w:rFonts w:hint="default" w:ascii="Times New Roman" w:hAnsi="Times New Roman" w:cs="Times New Roman"/>
          <w:color w:val="auto"/>
          <w:lang w:eastAsia="zh-CN"/>
        </w:rPr>
        <w:t>》《</w:t>
      </w:r>
      <w:r>
        <w:rPr>
          <w:rFonts w:hint="default" w:ascii="Times New Roman" w:hAnsi="Times New Roman" w:cs="Times New Roman"/>
          <w:color w:val="auto"/>
        </w:rPr>
        <w:t>医疗废物管理条例</w:t>
      </w:r>
      <w:r>
        <w:rPr>
          <w:rFonts w:hint="default" w:ascii="Times New Roman" w:hAnsi="Times New Roman" w:cs="Times New Roman"/>
          <w:color w:val="auto"/>
          <w:lang w:eastAsia="zh-CN"/>
        </w:rPr>
        <w:t>》《</w:t>
      </w:r>
      <w:r>
        <w:rPr>
          <w:rFonts w:hint="default" w:ascii="Times New Roman" w:hAnsi="Times New Roman" w:cs="Times New Roman"/>
          <w:color w:val="auto"/>
        </w:rPr>
        <w:t>医疗机构基本标准</w:t>
      </w:r>
      <w:r>
        <w:rPr>
          <w:rFonts w:hint="default" w:ascii="Times New Roman" w:hAnsi="Times New Roman" w:cs="Times New Roman"/>
          <w:color w:val="auto"/>
          <w:lang w:eastAsia="zh-CN"/>
        </w:rPr>
        <w:t>（</w:t>
      </w:r>
      <w:r>
        <w:rPr>
          <w:rFonts w:hint="default" w:ascii="Times New Roman" w:hAnsi="Times New Roman" w:cs="Times New Roman"/>
          <w:color w:val="auto"/>
        </w:rPr>
        <w:t>试行</w:t>
      </w:r>
      <w:r>
        <w:rPr>
          <w:rFonts w:hint="default" w:ascii="Times New Roman" w:hAnsi="Times New Roman" w:cs="Times New Roman"/>
          <w:color w:val="auto"/>
          <w:lang w:eastAsia="zh-CN"/>
        </w:rPr>
        <w:t>）》《</w:t>
      </w:r>
      <w:r>
        <w:rPr>
          <w:rFonts w:hint="default" w:ascii="Times New Roman" w:hAnsi="Times New Roman" w:cs="Times New Roman"/>
          <w:color w:val="auto"/>
        </w:rPr>
        <w:t>中医医院临床科室建设指南</w:t>
      </w:r>
      <w:r>
        <w:rPr>
          <w:rFonts w:hint="default" w:ascii="Times New Roman" w:hAnsi="Times New Roman" w:cs="Times New Roman"/>
          <w:color w:val="auto"/>
          <w:lang w:eastAsia="zh-CN"/>
        </w:rPr>
        <w:t>》《</w:t>
      </w:r>
      <w:r>
        <w:rPr>
          <w:rFonts w:hint="default" w:ascii="Times New Roman" w:hAnsi="Times New Roman" w:cs="Times New Roman"/>
          <w:color w:val="auto"/>
        </w:rPr>
        <w:t>改善中医药服务行动方案（2023</w:t>
      </w:r>
      <w:r>
        <w:rPr>
          <w:rFonts w:hint="default" w:ascii="Times New Roman" w:hAnsi="Times New Roman" w:cs="Times New Roman"/>
          <w:color w:val="auto"/>
          <w:lang w:eastAsia="zh-CN"/>
        </w:rPr>
        <w:t>—</w:t>
      </w:r>
      <w:r>
        <w:rPr>
          <w:rFonts w:hint="default" w:ascii="Times New Roman" w:hAnsi="Times New Roman" w:cs="Times New Roman"/>
          <w:color w:val="auto"/>
        </w:rPr>
        <w:t>2025年）</w:t>
      </w:r>
      <w:r>
        <w:rPr>
          <w:rFonts w:hint="default" w:ascii="Times New Roman" w:hAnsi="Times New Roman" w:cs="Times New Roman"/>
          <w:color w:val="auto"/>
          <w:lang w:eastAsia="zh-CN"/>
        </w:rPr>
        <w:t>》《</w:t>
      </w:r>
      <w:r>
        <w:rPr>
          <w:rFonts w:hint="default" w:ascii="Times New Roman" w:hAnsi="Times New Roman" w:cs="Times New Roman"/>
          <w:color w:val="auto"/>
        </w:rPr>
        <w:t>2024年国家医疗质量安全改进目标</w:t>
      </w:r>
      <w:r>
        <w:rPr>
          <w:rFonts w:hint="default" w:ascii="Times New Roman" w:hAnsi="Times New Roman" w:cs="Times New Roman"/>
          <w:color w:val="auto"/>
          <w:lang w:eastAsia="zh-CN"/>
        </w:rPr>
        <w:t>》《</w:t>
      </w:r>
      <w:r>
        <w:rPr>
          <w:rFonts w:hint="default" w:ascii="Times New Roman" w:hAnsi="Times New Roman" w:cs="Times New Roman"/>
          <w:color w:val="auto"/>
        </w:rPr>
        <w:t>广西开展全面提升医疗质量行动</w:t>
      </w:r>
      <w:r>
        <w:rPr>
          <w:rFonts w:hint="default" w:ascii="Times New Roman" w:hAnsi="Times New Roman" w:cs="Times New Roman"/>
          <w:color w:val="auto"/>
          <w:lang w:eastAsia="zh-CN"/>
        </w:rPr>
        <w:t>（</w:t>
      </w:r>
      <w:r>
        <w:rPr>
          <w:rFonts w:hint="default" w:ascii="Times New Roman" w:hAnsi="Times New Roman" w:cs="Times New Roman"/>
          <w:color w:val="auto"/>
        </w:rPr>
        <w:t>2023</w:t>
      </w:r>
      <w:r>
        <w:rPr>
          <w:rFonts w:hint="default" w:ascii="Times New Roman" w:hAnsi="Times New Roman" w:cs="Times New Roman"/>
          <w:color w:val="auto"/>
          <w:lang w:eastAsia="zh-CN"/>
        </w:rPr>
        <w:t>—</w:t>
      </w:r>
      <w:r>
        <w:rPr>
          <w:rFonts w:hint="default" w:ascii="Times New Roman" w:hAnsi="Times New Roman" w:cs="Times New Roman"/>
          <w:color w:val="auto"/>
        </w:rPr>
        <w:t>2025年</w:t>
      </w:r>
      <w:r>
        <w:rPr>
          <w:rFonts w:hint="default" w:ascii="Times New Roman" w:hAnsi="Times New Roman" w:cs="Times New Roman"/>
          <w:color w:val="auto"/>
          <w:lang w:eastAsia="zh-CN"/>
        </w:rPr>
        <w:t>）</w:t>
      </w:r>
      <w:r>
        <w:rPr>
          <w:rFonts w:hint="default" w:ascii="Times New Roman" w:hAnsi="Times New Roman" w:cs="Times New Roman"/>
          <w:color w:val="auto"/>
        </w:rPr>
        <w:t>实施方案</w:t>
      </w:r>
      <w:r>
        <w:rPr>
          <w:rFonts w:hint="default" w:ascii="Times New Roman" w:hAnsi="Times New Roman" w:cs="Times New Roman"/>
          <w:color w:val="auto"/>
          <w:lang w:eastAsia="zh-CN"/>
        </w:rPr>
        <w:t>》《</w:t>
      </w:r>
      <w:r>
        <w:rPr>
          <w:rFonts w:hint="default" w:ascii="Times New Roman" w:hAnsi="Times New Roman" w:cs="Times New Roman"/>
          <w:color w:val="auto"/>
        </w:rPr>
        <w:t>医疗技术临床应用管理办法</w:t>
      </w:r>
      <w:r>
        <w:rPr>
          <w:rFonts w:hint="default" w:ascii="Times New Roman" w:hAnsi="Times New Roman" w:cs="Times New Roman"/>
          <w:color w:val="auto"/>
          <w:lang w:eastAsia="zh-CN"/>
        </w:rPr>
        <w:t>》《</w:t>
      </w:r>
      <w:r>
        <w:rPr>
          <w:rFonts w:hint="default" w:ascii="Times New Roman" w:hAnsi="Times New Roman" w:cs="Times New Roman"/>
          <w:color w:val="auto"/>
        </w:rPr>
        <w:t>医院中药房基本标准</w:t>
      </w:r>
      <w:r>
        <w:rPr>
          <w:rFonts w:hint="default" w:ascii="Times New Roman" w:hAnsi="Times New Roman" w:cs="Times New Roman"/>
          <w:color w:val="auto"/>
          <w:lang w:eastAsia="zh-CN"/>
        </w:rPr>
        <w:t>》《</w:t>
      </w:r>
      <w:r>
        <w:rPr>
          <w:rFonts w:hint="default" w:ascii="Times New Roman" w:hAnsi="Times New Roman" w:cs="Times New Roman"/>
          <w:color w:val="auto"/>
        </w:rPr>
        <w:t>医院中药饮片管理规范</w:t>
      </w:r>
      <w:r>
        <w:rPr>
          <w:rFonts w:hint="default" w:ascii="Times New Roman" w:hAnsi="Times New Roman" w:cs="Times New Roman"/>
          <w:color w:val="auto"/>
          <w:lang w:eastAsia="zh-CN"/>
        </w:rPr>
        <w:t>》《</w:t>
      </w:r>
      <w:r>
        <w:rPr>
          <w:rFonts w:hint="default" w:ascii="Times New Roman" w:hAnsi="Times New Roman" w:cs="Times New Roman"/>
          <w:color w:val="auto"/>
        </w:rPr>
        <w:t>中医医院中医护理工作指南</w:t>
      </w:r>
      <w:r>
        <w:rPr>
          <w:rFonts w:hint="default" w:ascii="Times New Roman" w:hAnsi="Times New Roman" w:cs="Times New Roman"/>
          <w:color w:val="auto"/>
          <w:lang w:eastAsia="zh-CN"/>
        </w:rPr>
        <w:t>》《</w:t>
      </w:r>
      <w:r>
        <w:rPr>
          <w:rFonts w:hint="default" w:ascii="Times New Roman" w:hAnsi="Times New Roman" w:cs="Times New Roman"/>
          <w:color w:val="auto"/>
        </w:rPr>
        <w:t>护士条例</w:t>
      </w:r>
      <w:r>
        <w:rPr>
          <w:rFonts w:hint="default" w:ascii="Times New Roman" w:hAnsi="Times New Roman" w:cs="Times New Roman"/>
          <w:color w:val="auto"/>
          <w:lang w:eastAsia="zh-CN"/>
        </w:rPr>
        <w:t>》《</w:t>
      </w:r>
      <w:r>
        <w:rPr>
          <w:rFonts w:hint="default" w:ascii="Times New Roman" w:hAnsi="Times New Roman" w:cs="Times New Roman"/>
          <w:color w:val="auto"/>
        </w:rPr>
        <w:t>广西壮族自治区医疗机构护理质量管理规范</w:t>
      </w:r>
      <w:r>
        <w:rPr>
          <w:rFonts w:hint="default" w:ascii="Times New Roman" w:hAnsi="Times New Roman" w:cs="Times New Roman"/>
          <w:color w:val="auto"/>
          <w:lang w:eastAsia="zh-CN"/>
        </w:rPr>
        <w:t>》《</w:t>
      </w:r>
      <w:r>
        <w:rPr>
          <w:rFonts w:hint="default" w:ascii="Times New Roman" w:hAnsi="Times New Roman" w:cs="Times New Roman"/>
          <w:color w:val="auto"/>
        </w:rPr>
        <w:t>医疗机构临床实验室管理办法</w:t>
      </w:r>
      <w:r>
        <w:rPr>
          <w:rFonts w:hint="default" w:ascii="Times New Roman" w:hAnsi="Times New Roman" w:cs="Times New Roman"/>
          <w:color w:val="auto"/>
          <w:lang w:eastAsia="zh-CN"/>
        </w:rPr>
        <w:t>》《</w:t>
      </w:r>
      <w:r>
        <w:rPr>
          <w:rFonts w:hint="default" w:ascii="Times New Roman" w:hAnsi="Times New Roman" w:cs="Times New Roman"/>
          <w:color w:val="auto"/>
        </w:rPr>
        <w:t>病理科建设与管理指南</w:t>
      </w:r>
      <w:r>
        <w:rPr>
          <w:rFonts w:hint="default" w:ascii="Times New Roman" w:hAnsi="Times New Roman" w:cs="Times New Roman"/>
          <w:color w:val="auto"/>
          <w:lang w:eastAsia="zh-CN"/>
        </w:rPr>
        <w:t>》《</w:t>
      </w:r>
      <w:r>
        <w:rPr>
          <w:rFonts w:hint="default" w:ascii="Times New Roman" w:hAnsi="Times New Roman" w:cs="Times New Roman"/>
          <w:color w:val="auto"/>
        </w:rPr>
        <w:t>关于医技人员出具相关检查诊断报告的批复》（卫政法发〔2004〕）163号）、《职业病防治法</w:t>
      </w:r>
      <w:r>
        <w:rPr>
          <w:rFonts w:hint="default" w:ascii="Times New Roman" w:hAnsi="Times New Roman" w:cs="Times New Roman"/>
          <w:color w:val="auto"/>
          <w:lang w:eastAsia="zh-CN"/>
        </w:rPr>
        <w:t>》《</w:t>
      </w:r>
      <w:r>
        <w:rPr>
          <w:rFonts w:hint="default" w:ascii="Times New Roman" w:hAnsi="Times New Roman" w:cs="Times New Roman"/>
          <w:color w:val="auto"/>
        </w:rPr>
        <w:t>医院感染监测标准</w:t>
      </w:r>
      <w:r>
        <w:rPr>
          <w:rFonts w:hint="default" w:ascii="Times New Roman" w:hAnsi="Times New Roman" w:cs="Times New Roman"/>
          <w:color w:val="auto"/>
          <w:lang w:eastAsia="zh-CN"/>
        </w:rPr>
        <w:t>》《</w:t>
      </w:r>
      <w:r>
        <w:rPr>
          <w:rFonts w:hint="default" w:ascii="Times New Roman" w:hAnsi="Times New Roman" w:cs="Times New Roman"/>
          <w:color w:val="auto"/>
        </w:rPr>
        <w:t>医疗机构感染预防与控制基本制度（试行）</w:t>
      </w:r>
      <w:r>
        <w:rPr>
          <w:rFonts w:hint="default" w:ascii="Times New Roman" w:hAnsi="Times New Roman" w:cs="Times New Roman"/>
          <w:color w:val="auto"/>
          <w:lang w:eastAsia="zh-CN"/>
        </w:rPr>
        <w:t>》《</w:t>
      </w:r>
      <w:r>
        <w:rPr>
          <w:rFonts w:hint="default" w:ascii="Times New Roman" w:hAnsi="Times New Roman" w:cs="Times New Roman"/>
          <w:color w:val="auto"/>
        </w:rPr>
        <w:t>三级中医医院等级评审标准</w:t>
      </w:r>
      <w:r>
        <w:rPr>
          <w:rFonts w:hint="default" w:ascii="Times New Roman" w:hAnsi="Times New Roman" w:cs="Times New Roman"/>
          <w:color w:val="auto"/>
          <w:lang w:eastAsia="zh-CN"/>
        </w:rPr>
        <w:t>》《</w:t>
      </w:r>
      <w:r>
        <w:rPr>
          <w:rFonts w:hint="default" w:ascii="Times New Roman" w:hAnsi="Times New Roman" w:cs="Times New Roman"/>
          <w:color w:val="auto"/>
        </w:rPr>
        <w:t>关于进一步加强医疗机构感染预防与控制工作的通知》（国卫办医函</w:t>
      </w:r>
      <w:r>
        <w:rPr>
          <w:rFonts w:hint="default" w:ascii="Times New Roman" w:hAnsi="Times New Roman" w:cs="Times New Roman"/>
          <w:color w:val="auto"/>
          <w:lang w:eastAsia="zh-CN"/>
        </w:rPr>
        <w:t>〔</w:t>
      </w:r>
      <w:r>
        <w:rPr>
          <w:rFonts w:hint="default" w:ascii="Times New Roman" w:hAnsi="Times New Roman" w:cs="Times New Roman"/>
          <w:color w:val="auto"/>
        </w:rPr>
        <w:t>2019</w:t>
      </w:r>
      <w:r>
        <w:rPr>
          <w:rFonts w:hint="default" w:ascii="Times New Roman" w:hAnsi="Times New Roman" w:cs="Times New Roman"/>
          <w:color w:val="auto"/>
          <w:lang w:eastAsia="zh-CN"/>
        </w:rPr>
        <w:t>〕</w:t>
      </w:r>
      <w:r>
        <w:rPr>
          <w:rFonts w:hint="default" w:ascii="Times New Roman" w:hAnsi="Times New Roman" w:cs="Times New Roman"/>
          <w:color w:val="auto"/>
        </w:rPr>
        <w:t>480号）、WST-312-2023《医院感染监测标准</w:t>
      </w:r>
      <w:r>
        <w:rPr>
          <w:rFonts w:hint="default" w:ascii="Times New Roman" w:hAnsi="Times New Roman" w:cs="Times New Roman"/>
          <w:color w:val="auto"/>
          <w:lang w:eastAsia="zh-CN"/>
        </w:rPr>
        <w:t>》《</w:t>
      </w:r>
      <w:r>
        <w:rPr>
          <w:rFonts w:hint="default" w:ascii="Times New Roman" w:hAnsi="Times New Roman" w:cs="Times New Roman"/>
          <w:color w:val="auto"/>
        </w:rPr>
        <w:t>医疗废物管理条例》等，</w:t>
      </w:r>
      <w:r>
        <w:rPr>
          <w:rFonts w:hint="default" w:ascii="Times New Roman" w:hAnsi="Times New Roman" w:cs="Times New Roman"/>
          <w:color w:val="auto"/>
          <w:lang w:val="en-US" w:eastAsia="zh-CN"/>
        </w:rPr>
        <w:t>同时按照《广西壮族自治区医疗机构管理办法》《广西壮族自治区中医药条例》要求，制定本细则。</w:t>
      </w:r>
    </w:p>
    <w:p>
      <w:pPr>
        <w:bidi w:val="0"/>
        <w:spacing w:line="540" w:lineRule="exact"/>
        <w:rPr>
          <w:rFonts w:hint="default" w:ascii="Times New Roman" w:hAnsi="Times New Roman" w:cs="Times New Roman"/>
          <w:color w:val="auto"/>
        </w:rPr>
      </w:pPr>
      <w:r>
        <w:rPr>
          <w:rFonts w:hint="default" w:ascii="Times New Roman" w:hAnsi="Times New Roman" w:cs="Times New Roman"/>
          <w:color w:val="auto"/>
        </w:rPr>
        <w:t>二、本细则适用于三级、二级、一级的中医医院、中西医结合医院、中西医结合骨科医院以及壮医医院等民族医</w:t>
      </w:r>
      <w:r>
        <w:rPr>
          <w:rFonts w:hint="default" w:ascii="Times New Roman" w:hAnsi="Times New Roman" w:cs="Times New Roman"/>
          <w:color w:val="auto"/>
          <w:highlight w:val="none"/>
        </w:rPr>
        <w:t>医院</w:t>
      </w:r>
      <w:r>
        <w:rPr>
          <w:rFonts w:hint="default" w:ascii="Times New Roman" w:hAnsi="Times New Roman" w:cs="Times New Roman"/>
          <w:color w:val="auto"/>
        </w:rPr>
        <w:t>。</w:t>
      </w:r>
    </w:p>
    <w:p>
      <w:pPr>
        <w:bidi w:val="0"/>
        <w:spacing w:line="540" w:lineRule="exact"/>
        <w:rPr>
          <w:rFonts w:hint="default" w:ascii="Times New Roman" w:hAnsi="Times New Roman" w:cs="Times New Roman"/>
          <w:color w:val="auto"/>
          <w:lang w:eastAsia="zh-CN"/>
        </w:rPr>
      </w:pPr>
      <w:r>
        <w:rPr>
          <w:rFonts w:hint="default" w:ascii="Times New Roman" w:hAnsi="Times New Roman" w:cs="Times New Roman"/>
          <w:color w:val="auto"/>
        </w:rPr>
        <w:t>三、按照《医疗机构校验管理办法》关于“暂缓校验”的相关要求，本细则将基本标准、若未达到势必影响医疗质量与患者安全的指标列为“核心指标”</w:t>
      </w:r>
      <w:r>
        <w:rPr>
          <w:rFonts w:hint="default" w:ascii="Times New Roman" w:hAnsi="Times New Roman" w:cs="Times New Roman"/>
          <w:color w:val="auto"/>
          <w:lang w:eastAsia="zh-CN"/>
        </w:rPr>
        <w:t>（</w:t>
      </w:r>
      <w:r>
        <w:rPr>
          <w:rFonts w:hint="default" w:ascii="Times New Roman" w:hAnsi="Times New Roman" w:cs="Times New Roman"/>
          <w:color w:val="auto"/>
        </w:rPr>
        <w:t>以★标示</w:t>
      </w:r>
      <w:r>
        <w:rPr>
          <w:rFonts w:hint="default" w:ascii="Times New Roman" w:hAnsi="Times New Roman" w:cs="Times New Roman"/>
          <w:color w:val="auto"/>
          <w:lang w:eastAsia="zh-CN"/>
        </w:rPr>
        <w:t>）</w:t>
      </w:r>
      <w:r>
        <w:rPr>
          <w:rFonts w:hint="default" w:ascii="Times New Roman" w:hAnsi="Times New Roman" w:cs="Times New Roman"/>
          <w:color w:val="auto"/>
        </w:rPr>
        <w:t>，核心指标不设定分值。</w:t>
      </w:r>
    </w:p>
    <w:p>
      <w:pPr>
        <w:bidi w:val="0"/>
        <w:spacing w:line="540" w:lineRule="exact"/>
        <w:rPr>
          <w:rFonts w:hint="default" w:ascii="Times New Roman" w:hAnsi="Times New Roman" w:cs="Times New Roman"/>
          <w:color w:val="auto"/>
        </w:rPr>
      </w:pPr>
      <w:r>
        <w:rPr>
          <w:rFonts w:hint="default" w:ascii="Times New Roman" w:hAnsi="Times New Roman" w:cs="Times New Roman"/>
          <w:color w:val="auto"/>
        </w:rPr>
        <w:t>四、经校验认定不具备相应医疗服务能力的医疗机构，由登记机关注销其相应科目的执业资格。</w:t>
      </w:r>
    </w:p>
    <w:p>
      <w:pPr>
        <w:bidi w:val="0"/>
        <w:spacing w:line="540" w:lineRule="exact"/>
        <w:rPr>
          <w:rFonts w:hint="default" w:ascii="Times New Roman" w:hAnsi="Times New Roman" w:cs="Times New Roman"/>
          <w:color w:val="auto"/>
        </w:rPr>
      </w:pPr>
      <w:r>
        <w:rPr>
          <w:rFonts w:hint="default" w:ascii="Times New Roman" w:hAnsi="Times New Roman" w:cs="Times New Roman"/>
          <w:color w:val="auto"/>
        </w:rPr>
        <w:t>五、结合三级中医医院基本标准和细则评估要求，校验现场审查结论分为：校验合格和暂缓校验。</w:t>
      </w:r>
    </w:p>
    <w:p>
      <w:pPr>
        <w:bidi w:val="0"/>
        <w:spacing w:line="540" w:lineRule="exact"/>
        <w:rPr>
          <w:rFonts w:hint="default" w:ascii="Times New Roman" w:hAnsi="Times New Roman" w:cs="Times New Roman"/>
          <w:color w:val="auto"/>
        </w:rPr>
      </w:pPr>
      <w:r>
        <w:rPr>
          <w:rFonts w:hint="default" w:ascii="Times New Roman" w:hAnsi="Times New Roman" w:cs="Times New Roman"/>
          <w:color w:val="auto"/>
        </w:rPr>
        <w:t>（一）校验评价得分总分达到85分及以上，且核心指标全部符合要求时，专家组将作出“建议校验合格”的现场审查意见。最终是否校验合格，由登记机关结合书面审查等情况作出决定。</w:t>
      </w:r>
    </w:p>
    <w:p>
      <w:pPr>
        <w:bidi w:val="0"/>
        <w:spacing w:line="540" w:lineRule="exact"/>
        <w:ind w:left="0" w:leftChars="0" w:firstLine="640" w:firstLineChars="200"/>
        <w:rPr>
          <w:rFonts w:hint="eastAsia"/>
          <w:lang w:val="en-US" w:eastAsia="zh-CN"/>
        </w:rPr>
      </w:pPr>
      <w:r>
        <w:rPr>
          <w:rFonts w:hint="default" w:ascii="Times New Roman" w:hAnsi="Times New Roman" w:cs="Times New Roman"/>
          <w:color w:val="auto"/>
        </w:rPr>
        <w:t>（二）校验评价得分总分低于85分，或核心指标中任一项不符合要求，或校验审查所涉及的文件、病案和材料存在隐瞒、弄虚作假情况时，专家组应提出“建议暂缓校验”的意见。登记机关将据此作出结论，下达整改通知书，并根据情况，给予1至6个月的暂缓校验期。</w:t>
      </w:r>
    </w:p>
    <w:sectPr>
      <w:pgSz w:w="11906" w:h="16838"/>
      <w:pgMar w:top="1701" w:right="1417" w:bottom="1417" w:left="1701"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Segoe UI"/>
    <w:panose1 w:val="020F0502020204030204"/>
    <w:charset w:val="00"/>
    <w:family w:val="swiss"/>
    <w:pitch w:val="default"/>
    <w:sig w:usb0="00000000" w:usb1="00000000" w:usb2="00000001" w:usb3="00000000" w:csb0="0000019F" w:csb1="00000000"/>
  </w:font>
  <w:font w:name="Segoe UI">
    <w:panose1 w:val="020B0802040204020203"/>
    <w:charset w:val="00"/>
    <w:family w:val="auto"/>
    <w:pitch w:val="default"/>
    <w:sig w:usb0="E10022FF" w:usb1="C000E47F" w:usb2="00000029" w:usb3="00000000" w:csb0="200001DF" w:csb1="20000000"/>
  </w:font>
  <w:font w:name="方正书宋_GBK">
    <w:panose1 w:val="02000000000000000000"/>
    <w:charset w:val="86"/>
    <w:family w:val="auto"/>
    <w:pitch w:val="default"/>
    <w:sig w:usb0="00000001" w:usb1="08000000" w:usb2="00000000" w:usb3="00000000" w:csb0="00040000" w:csb1="00000000"/>
  </w:font>
  <w:font w:name="仿宋_GB2312">
    <w:altName w:val="方正仿宋_GBK"/>
    <w:panose1 w:val="02010609030101010101"/>
    <w:charset w:val="00"/>
    <w:family w:val="auto"/>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黑体">
    <w:altName w:val="方正黑体_GBK"/>
    <w:panose1 w:val="02010609060101010101"/>
    <w:charset w:val="00"/>
    <w:family w:val="auto"/>
    <w:pitch w:val="default"/>
    <w:sig w:usb0="800002BF" w:usb1="38CF7CFA" w:usb2="00000016" w:usb3="00000000" w:csb0="00040001" w:csb1="00000000"/>
  </w:font>
  <w:font w:name="方正黑体_GBK">
    <w:panose1 w:val="02000000000000000000"/>
    <w:charset w:val="86"/>
    <w:family w:val="auto"/>
    <w:pitch w:val="default"/>
    <w:sig w:usb0="00000001" w:usb1="08000000" w:usb2="00000000" w:usb3="00000000" w:csb0="00040000" w:csb1="00000000"/>
  </w:font>
  <w:font w:name="Arial">
    <w:altName w:val="DejaVu Sans"/>
    <w:panose1 w:val="020B0604020202020204"/>
    <w:charset w:val="00"/>
    <w:family w:val="swiss"/>
    <w:pitch w:val="default"/>
    <w:sig w:usb0="E0002EFF" w:usb1="C000785B" w:usb2="00000009" w:usb3="00000000" w:csb0="400001FF" w:csb1="FFFF0000"/>
  </w:font>
  <w:font w:name="楷体_GB2312">
    <w:altName w:val="方正楷体_GBK"/>
    <w:panose1 w:val="02010609030101010101"/>
    <w:charset w:val="00"/>
    <w:family w:val="auto"/>
    <w:pitch w:val="default"/>
    <w:sig w:usb0="00000001" w:usb1="080E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文泉驿微米黑">
    <w:panose1 w:val="020B0606030804020204"/>
    <w:charset w:val="86"/>
    <w:family w:val="auto"/>
    <w:pitch w:val="default"/>
    <w:sig w:usb0="E10002EF" w:usb1="6BDFFCFB" w:usb2="00800036" w:usb3="00000000" w:csb0="603E01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ind w:firstLine="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LNJWO7QAAAABQEAAA8AAAAAAAAAAQAgAAAAOAAAAGRycy9kb3ducmV2Lnht&#10;bFBLAQIUABQAAAAIAIdO4kBfp6ro6wEAANUDAAAOAAAAAAAAAAEAIAAAADUBAABkcnMvZTJvRG9j&#10;LnhtbFBLBQYAAAAABgAGAFkBAACSBQAAAAA=&#10;">
              <v:fill on="f" focussize="0,0"/>
              <v:stroke on="f" weight="0.5pt"/>
              <v:imagedata o:title=""/>
              <o:lock v:ext="edit" aspectratio="f"/>
              <v:textbox inset="0mm,0mm,0mm,0mm" style="mso-fit-shape-to-text:t;">
                <w:txbxContent>
                  <w:p>
                    <w:pPr>
                      <w:pStyle w:val="9"/>
                      <w:ind w:firstLine="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9"/>
                            <w:ind w:firstLine="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eastAsia="zh-CN"/>
                            </w:rPr>
                            <w:t>—</w:t>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LNJWO7QAAAABQEAAA8AAAAAAAAAAQAgAAAAOAAAAGRycy9kb3ducmV2Lnht&#10;bFBLAQIUABQAAAAIAIdO4kBosEhV6wEAANUDAAAOAAAAAAAAAAEAIAAAADUBAABkcnMvZTJvRG9j&#10;LnhtbFBLBQYAAAAABgAGAFkBAACSBQAAAAA=&#10;">
              <v:fill on="f" focussize="0,0"/>
              <v:stroke on="f" weight="0.5pt"/>
              <v:imagedata o:title=""/>
              <o:lock v:ext="edit" aspectratio="f"/>
              <v:textbox inset="0mm,0mm,0mm,0mm" style="mso-fit-shape-to-text:t;">
                <w:txbxContent>
                  <w:p>
                    <w:pPr>
                      <w:pStyle w:val="9"/>
                      <w:ind w:firstLine="0" w:firstLineChars="0"/>
                      <w:rPr>
                        <w:rFonts w:hint="eastAsia" w:ascii="宋体" w:hAnsi="宋体" w:eastAsia="宋体" w:cs="宋体"/>
                        <w:sz w:val="28"/>
                        <w:szCs w:val="28"/>
                        <w:lang w:eastAsia="zh-CN"/>
                      </w:rPr>
                    </w:pPr>
                    <w:r>
                      <w:rPr>
                        <w:rFonts w:hint="eastAsia" w:ascii="宋体" w:hAnsi="宋体" w:eastAsia="宋体" w:cs="宋体"/>
                        <w:sz w:val="28"/>
                        <w:szCs w:val="28"/>
                        <w:lang w:eastAsia="zh-CN"/>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lang w:eastAsia="zh-CN"/>
                      </w:rPr>
                      <w:t>—</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attachedTemplate r:id="rId1"/>
  <w:trackRevisions w:val="1"/>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NkNWIzMjRlYmJjMzc0ZWFlNWRjZWU0ZmNlOGVjMzEifQ=="/>
  </w:docVars>
  <w:rsids>
    <w:rsidRoot w:val="1E9B02D6"/>
    <w:rsid w:val="00C53777"/>
    <w:rsid w:val="01BB7833"/>
    <w:rsid w:val="04F51F75"/>
    <w:rsid w:val="05A03D47"/>
    <w:rsid w:val="09057E7F"/>
    <w:rsid w:val="0B645F2B"/>
    <w:rsid w:val="0BF4406D"/>
    <w:rsid w:val="0DFF4023"/>
    <w:rsid w:val="0E6B25E0"/>
    <w:rsid w:val="10042CED"/>
    <w:rsid w:val="12977E48"/>
    <w:rsid w:val="12F57074"/>
    <w:rsid w:val="13737F6D"/>
    <w:rsid w:val="16CB6878"/>
    <w:rsid w:val="17D76009"/>
    <w:rsid w:val="184236E8"/>
    <w:rsid w:val="19E8063D"/>
    <w:rsid w:val="1C76287C"/>
    <w:rsid w:val="1E9B02D6"/>
    <w:rsid w:val="1F7532BF"/>
    <w:rsid w:val="20A57BD4"/>
    <w:rsid w:val="23A5004C"/>
    <w:rsid w:val="247674CF"/>
    <w:rsid w:val="251F57E3"/>
    <w:rsid w:val="25553977"/>
    <w:rsid w:val="2982623B"/>
    <w:rsid w:val="29C60A93"/>
    <w:rsid w:val="2B570627"/>
    <w:rsid w:val="31A53B1F"/>
    <w:rsid w:val="328238D1"/>
    <w:rsid w:val="329B00BD"/>
    <w:rsid w:val="32D85500"/>
    <w:rsid w:val="337D1F97"/>
    <w:rsid w:val="3402116D"/>
    <w:rsid w:val="388F0F77"/>
    <w:rsid w:val="3F6C3F9A"/>
    <w:rsid w:val="44BF6C07"/>
    <w:rsid w:val="44F2017A"/>
    <w:rsid w:val="47643C7B"/>
    <w:rsid w:val="4A282276"/>
    <w:rsid w:val="4AEF3676"/>
    <w:rsid w:val="508259F9"/>
    <w:rsid w:val="50B0226E"/>
    <w:rsid w:val="547B120B"/>
    <w:rsid w:val="57CA16F3"/>
    <w:rsid w:val="58C54198"/>
    <w:rsid w:val="5B94004E"/>
    <w:rsid w:val="5C4E037B"/>
    <w:rsid w:val="5D072AA1"/>
    <w:rsid w:val="5F7E34EF"/>
    <w:rsid w:val="5FFF2C84"/>
    <w:rsid w:val="6909129C"/>
    <w:rsid w:val="69E76134"/>
    <w:rsid w:val="69F23840"/>
    <w:rsid w:val="6E587601"/>
    <w:rsid w:val="71C70D25"/>
    <w:rsid w:val="727A5D97"/>
    <w:rsid w:val="75501031"/>
    <w:rsid w:val="759929D8"/>
    <w:rsid w:val="75B94E29"/>
    <w:rsid w:val="76D8308D"/>
    <w:rsid w:val="780311B4"/>
    <w:rsid w:val="78537A02"/>
    <w:rsid w:val="791A1180"/>
    <w:rsid w:val="7B1E5C97"/>
    <w:rsid w:val="7BAFB975"/>
    <w:rsid w:val="7C7FEC72"/>
    <w:rsid w:val="7DDE8BD3"/>
    <w:rsid w:val="7F706F78"/>
    <w:rsid w:val="B5BB1126"/>
    <w:rsid w:val="DFA1BCCE"/>
    <w:rsid w:val="EAB66654"/>
    <w:rsid w:val="F9E7CB12"/>
    <w:rsid w:val="FCFBE006"/>
    <w:rsid w:val="FDFB8D3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60" w:lineRule="exact"/>
      <w:ind w:firstLine="640" w:firstLineChars="200"/>
      <w:jc w:val="left"/>
    </w:pPr>
    <w:rPr>
      <w:rFonts w:ascii="Calibri" w:hAnsi="Calibri" w:eastAsia="仿宋_GB2312" w:cs="Times New Roman"/>
      <w:kern w:val="2"/>
      <w:sz w:val="32"/>
      <w:szCs w:val="24"/>
      <w:lang w:val="en-US" w:eastAsia="zh-CN" w:bidi="ar-SA"/>
    </w:rPr>
  </w:style>
  <w:style w:type="paragraph" w:styleId="3">
    <w:name w:val="heading 1"/>
    <w:basedOn w:val="1"/>
    <w:next w:val="1"/>
    <w:qFormat/>
    <w:uiPriority w:val="0"/>
    <w:pPr>
      <w:keepNext w:val="0"/>
      <w:keepLines w:val="0"/>
      <w:spacing w:beforeLines="0" w:beforeAutospacing="0" w:afterLines="0" w:afterAutospacing="0" w:line="560" w:lineRule="exact"/>
      <w:ind w:left="0" w:leftChars="0"/>
      <w:outlineLvl w:val="0"/>
    </w:pPr>
    <w:rPr>
      <w:rFonts w:eastAsia="黑体"/>
      <w:kern w:val="44"/>
    </w:rPr>
  </w:style>
  <w:style w:type="paragraph" w:styleId="4">
    <w:name w:val="heading 2"/>
    <w:basedOn w:val="1"/>
    <w:next w:val="1"/>
    <w:link w:val="12"/>
    <w:unhideWhenUsed/>
    <w:qFormat/>
    <w:uiPriority w:val="0"/>
    <w:pPr>
      <w:keepNext w:val="0"/>
      <w:keepLines w:val="0"/>
      <w:spacing w:beforeLines="0" w:beforeAutospacing="0" w:afterLines="0" w:afterAutospacing="0" w:line="560" w:lineRule="exact"/>
      <w:ind w:left="0" w:leftChars="0"/>
      <w:outlineLvl w:val="1"/>
    </w:pPr>
    <w:rPr>
      <w:rFonts w:ascii="Arial" w:hAnsi="Arial" w:eastAsia="楷体_GB2312"/>
    </w:rPr>
  </w:style>
  <w:style w:type="paragraph" w:styleId="5">
    <w:name w:val="heading 3"/>
    <w:basedOn w:val="1"/>
    <w:next w:val="1"/>
    <w:unhideWhenUsed/>
    <w:qFormat/>
    <w:uiPriority w:val="0"/>
    <w:pPr>
      <w:keepNext w:val="0"/>
      <w:keepLines w:val="0"/>
      <w:spacing w:beforeLines="0" w:beforeAutospacing="0" w:afterLines="0" w:afterAutospacing="0" w:line="560" w:lineRule="exact"/>
      <w:ind w:left="0" w:leftChars="0"/>
      <w:outlineLvl w:val="2"/>
    </w:pPr>
    <w:rPr>
      <w:rFonts w:ascii="Arial" w:hAnsi="Arial"/>
    </w:rPr>
  </w:style>
  <w:style w:type="paragraph" w:styleId="6">
    <w:name w:val="heading 4"/>
    <w:basedOn w:val="1"/>
    <w:next w:val="1"/>
    <w:unhideWhenUsed/>
    <w:qFormat/>
    <w:uiPriority w:val="0"/>
    <w:pPr>
      <w:keepNext w:val="0"/>
      <w:keepLines w:val="0"/>
      <w:spacing w:beforeLines="0" w:beforeAutospacing="0" w:afterLines="0" w:afterAutospacing="0" w:line="560" w:lineRule="exact"/>
      <w:outlineLvl w:val="3"/>
    </w:pPr>
    <w:rPr>
      <w:rFonts w:ascii="Arial" w:hAnsi="Arial"/>
    </w:rPr>
  </w:style>
  <w:style w:type="character" w:default="1" w:styleId="11">
    <w:name w:val="Default Paragraph Font"/>
    <w:semiHidden/>
    <w:qFormat/>
    <w:uiPriority w:val="0"/>
  </w:style>
  <w:style w:type="table" w:default="1" w:styleId="10">
    <w:name w:val="Normal Table"/>
    <w:semiHidden/>
    <w:qFormat/>
    <w:uiPriority w:val="0"/>
    <w:tblPr>
      <w:tblStyle w:val="10"/>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cs="Calibri"/>
    </w:rPr>
  </w:style>
  <w:style w:type="paragraph" w:styleId="7">
    <w:name w:val="Body Text"/>
    <w:basedOn w:val="1"/>
    <w:next w:val="8"/>
    <w:unhideWhenUsed/>
    <w:qFormat/>
    <w:uiPriority w:val="99"/>
    <w:pPr>
      <w:spacing w:beforeLines="0" w:afterLines="0"/>
    </w:pPr>
    <w:rPr>
      <w:rFonts w:hint="default"/>
      <w:sz w:val="69"/>
      <w:szCs w:val="24"/>
    </w:rPr>
  </w:style>
  <w:style w:type="paragraph" w:styleId="8">
    <w:name w:val="Title"/>
    <w:basedOn w:val="1"/>
    <w:next w:val="1"/>
    <w:qFormat/>
    <w:uiPriority w:val="0"/>
    <w:pPr>
      <w:spacing w:before="240" w:beforeLines="0" w:beforeAutospacing="0" w:after="60" w:afterLines="0" w:afterAutospacing="0"/>
      <w:jc w:val="center"/>
      <w:outlineLvl w:val="0"/>
    </w:pPr>
    <w:rPr>
      <w:rFonts w:ascii="Arial" w:hAnsi="Arial" w:eastAsia="宋体" w:cs="Times New Roman"/>
      <w:b/>
      <w:sz w:val="32"/>
    </w:rPr>
  </w:style>
  <w:style w:type="paragraph" w:styleId="9">
    <w:name w:val="footer"/>
    <w:basedOn w:val="1"/>
    <w:next w:val="1"/>
    <w:qFormat/>
    <w:uiPriority w:val="0"/>
    <w:pPr>
      <w:tabs>
        <w:tab w:val="center" w:pos="4153"/>
        <w:tab w:val="right" w:pos="8306"/>
      </w:tabs>
      <w:snapToGrid w:val="0"/>
      <w:jc w:val="left"/>
    </w:pPr>
    <w:rPr>
      <w:sz w:val="18"/>
    </w:rPr>
  </w:style>
  <w:style w:type="character" w:customStyle="1" w:styleId="12">
    <w:name w:val="标题 2 Char"/>
    <w:link w:val="4"/>
    <w:qFormat/>
    <w:uiPriority w:val="0"/>
    <w:rPr>
      <w:rFonts w:ascii="Arial" w:hAnsi="Arial" w:eastAsia="楷体_GB2312"/>
    </w:rPr>
  </w:style>
  <w:style w:type="character" w:customStyle="1" w:styleId="13">
    <w:name w:val="font41"/>
    <w:basedOn w:val="11"/>
    <w:uiPriority w:val="0"/>
    <w:rPr>
      <w:rFonts w:hint="eastAsia" w:ascii="宋体" w:hAnsi="宋体" w:eastAsia="宋体" w:cs="宋体"/>
      <w:color w:val="000000"/>
      <w:sz w:val="20"/>
      <w:szCs w:val="20"/>
      <w:u w:val="none"/>
    </w:rPr>
  </w:style>
  <w:style w:type="character" w:customStyle="1" w:styleId="14">
    <w:name w:val="font51"/>
    <w:basedOn w:val="11"/>
    <w:uiPriority w:val="0"/>
    <w:rPr>
      <w:rFonts w:hint="eastAsia" w:ascii="宋体" w:hAnsi="宋体" w:eastAsia="宋体" w:cs="宋体"/>
      <w:color w:val="FF0000"/>
      <w:sz w:val="20"/>
      <w:szCs w:val="20"/>
      <w:u w:val="none"/>
    </w:rPr>
  </w:style>
  <w:style w:type="character" w:customStyle="1" w:styleId="15">
    <w:name w:val="font61"/>
    <w:basedOn w:val="11"/>
    <w:uiPriority w:val="0"/>
    <w:rPr>
      <w:rFonts w:hint="eastAsia" w:ascii="宋体" w:hAnsi="宋体" w:eastAsia="宋体" w:cs="宋体"/>
      <w:color w:val="FF0000"/>
      <w:sz w:val="20"/>
      <w:szCs w:val="20"/>
      <w:u w:val="none"/>
    </w:rPr>
  </w:style>
  <w:style w:type="character" w:customStyle="1" w:styleId="16">
    <w:name w:val="font71"/>
    <w:basedOn w:val="11"/>
    <w:uiPriority w:val="0"/>
    <w:rPr>
      <w:rFonts w:hint="eastAsia" w:ascii="宋体" w:hAnsi="宋体" w:eastAsia="宋体" w:cs="宋体"/>
      <w:b/>
      <w:bCs/>
      <w:color w:val="000000"/>
      <w:sz w:val="20"/>
      <w:szCs w:val="20"/>
      <w:u w:val="none"/>
    </w:rPr>
  </w:style>
  <w:style w:type="character" w:customStyle="1" w:styleId="17">
    <w:name w:val="font11"/>
    <w:basedOn w:val="11"/>
    <w:uiPriority w:val="0"/>
    <w:rPr>
      <w:rFonts w:hint="eastAsia" w:ascii="宋体" w:hAnsi="宋体" w:eastAsia="宋体" w:cs="宋体"/>
      <w:color w:val="000000"/>
      <w:sz w:val="20"/>
      <w:szCs w:val="20"/>
      <w:u w:val="none"/>
    </w:rPr>
  </w:style>
  <w:style w:type="character" w:customStyle="1" w:styleId="18">
    <w:name w:val="font31"/>
    <w:basedOn w:val="11"/>
    <w:uiPriority w:val="0"/>
    <w:rPr>
      <w:rFonts w:hint="eastAsia" w:ascii="宋体" w:hAnsi="宋体" w:eastAsia="宋体" w:cs="宋体"/>
      <w:color w:val="000000"/>
      <w:sz w:val="20"/>
      <w:szCs w:val="20"/>
      <w:u w:val="none"/>
    </w:rPr>
  </w:style>
  <w:style w:type="character" w:customStyle="1" w:styleId="19">
    <w:name w:val="font21"/>
    <w:basedOn w:val="11"/>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home/gxxc/D:\BaiduSyncdisk\D%20&#30334;&#24230;&#21516;&#27493;\&#20010;&#20154;\&#21333;&#20301;\00%20&#20013;&#31649;&#23616;\&#24120;&#29992;\00%20&#20844;&#25991;&#27169;&#26495;&#26679;&#24335;\&#33258;&#27835;&#21306;&#20013;&#21307;&#33647;&#23616;&#20844;&#25991;&#27169;&#26495;.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自治区中医药局公文模板.dotx</Template>
  <Pages>57</Pages>
  <Words>46868</Words>
  <Characters>48953</Characters>
  <Lines>0</Lines>
  <Paragraphs>0</Paragraphs>
  <TotalTime>16.3333333333333</TotalTime>
  <ScaleCrop>false</ScaleCrop>
  <LinksUpToDate>false</LinksUpToDate>
  <CharactersWithSpaces>49125</CharactersWithSpaces>
  <Application>WPS Office_12.8.2.1113_F1E327BC-269C-435d-A152-05C5408002CA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2024-05-26T16:21:00Z</dcterms:created>
  <dc:creator>李华</dc:creator>
  <cp:lastModifiedBy>暴躁的小谭</cp:lastModifiedBy>
  <cp:lastPrinted>2024-09-15T02:45:05Z</cp:lastPrinted>
  <dcterms:modified xsi:type="dcterms:W3CDTF">2024-09-14T19:45:01Z</dcterms:modified>
  <dc:title>自治区中医药局办公室关于</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2052-12.8.2.1113</vt:lpwstr>
  </property>
  <property fmtid="{D5CDD505-2E9C-101B-9397-08002B2CF9AE}" pid="3" name="ICV">
    <vt:lpwstr>3E4EE45942174F3B3D77E5669EC421EA_43</vt:lpwstr>
  </property>
</Properties>
</file>