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left"/>
        <w:textAlignment w:val="center"/>
        <w:rPr>
          <w:rFonts w:hint="eastAsia" w:ascii="方正小标宋简体" w:hAnsi="方正小标宋简体" w:eastAsia="黑体" w:cs="方正小标宋简体"/>
          <w:b/>
          <w:bCs/>
          <w:i w:val="0"/>
          <w:iCs w:val="0"/>
          <w:color w:val="auto"/>
          <w:kern w:val="0"/>
          <w:sz w:val="44"/>
          <w:szCs w:val="44"/>
          <w:u w:val="none"/>
          <w:lang w:val="en-US" w:eastAsia="zh-CN" w:bidi="ar"/>
        </w:rPr>
      </w:pPr>
      <w:bookmarkStart w:id="0" w:name="_GoBack"/>
      <w:bookmarkEnd w:id="0"/>
      <w:r>
        <w:rPr>
          <w:rFonts w:hint="eastAsia" w:ascii="黑体" w:hAnsi="黑体" w:eastAsia="黑体" w:cs="黑体"/>
          <w:color w:val="auto"/>
          <w:sz w:val="32"/>
          <w:szCs w:val="32"/>
        </w:rPr>
        <w:t>附件</w:t>
      </w:r>
      <w:r>
        <w:rPr>
          <w:rFonts w:hint="eastAsia" w:ascii="黑体" w:hAnsi="黑体" w:eastAsia="黑体" w:cs="黑体"/>
          <w:color w:val="auto"/>
          <w:sz w:val="32"/>
          <w:szCs w:val="32"/>
          <w:lang w:val="en-US" w:eastAsia="zh-CN"/>
        </w:rPr>
        <w:t>1</w:t>
      </w:r>
    </w:p>
    <w:p>
      <w:pPr>
        <w:keepNext w:val="0"/>
        <w:keepLines w:val="0"/>
        <w:widowControl/>
        <w:suppressLineNumbers w:val="0"/>
        <w:jc w:val="center"/>
        <w:textAlignment w:val="center"/>
        <w:rPr>
          <w:rFonts w:hint="eastAsia" w:ascii="黑体" w:hAnsi="黑体" w:eastAsia="黑体" w:cs="黑体"/>
          <w:b w:val="0"/>
          <w:bCs w:val="0"/>
          <w:i w:val="0"/>
          <w:iCs w:val="0"/>
          <w:color w:val="auto"/>
          <w:kern w:val="0"/>
          <w:sz w:val="44"/>
          <w:szCs w:val="44"/>
          <w:u w:val="none"/>
          <w:lang w:val="en-US" w:eastAsia="zh-CN" w:bidi="ar"/>
        </w:rPr>
      </w:pPr>
      <w:r>
        <w:rPr>
          <w:rFonts w:hint="eastAsia" w:ascii="方正小标宋简体" w:hAnsi="方正小标宋简体" w:eastAsia="方正小标宋简体" w:cs="方正小标宋简体"/>
          <w:b w:val="0"/>
          <w:bCs w:val="0"/>
          <w:i w:val="0"/>
          <w:iCs w:val="0"/>
          <w:color w:val="auto"/>
          <w:kern w:val="0"/>
          <w:sz w:val="44"/>
          <w:szCs w:val="44"/>
          <w:u w:val="none"/>
          <w:lang w:val="en-US" w:eastAsia="zh-CN" w:bidi="ar"/>
        </w:rPr>
        <w:t>三级中医医疗机构执业校验评分细则</w:t>
      </w:r>
    </w:p>
    <w:tbl>
      <w:tblPr>
        <w:tblStyle w:val="7"/>
        <w:tblW w:w="5201" w:type="pct"/>
        <w:tblInd w:w="-334"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407"/>
        <w:gridCol w:w="1218"/>
        <w:gridCol w:w="3581"/>
        <w:gridCol w:w="1872"/>
        <w:gridCol w:w="5965"/>
        <w:gridCol w:w="75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8" w:hRule="atLeast"/>
          <w:tblHeader/>
        </w:trPr>
        <w:tc>
          <w:tcPr>
            <w:tcW w:w="475" w:type="pct"/>
            <w:tcBorders>
              <w:top w:val="single" w:color="000000" w:sz="4" w:space="0"/>
              <w:left w:val="single" w:color="000000" w:sz="4" w:space="0"/>
              <w:bottom w:val="single" w:color="000000" w:sz="4" w:space="0"/>
              <w:right w:val="nil"/>
            </w:tcBorders>
            <w:noWrap/>
            <w:vAlign w:val="center"/>
          </w:tcPr>
          <w:p>
            <w:pPr>
              <w:keepNext w:val="0"/>
              <w:keepLines w:val="0"/>
              <w:widowControl/>
              <w:suppressLineNumbers w:val="0"/>
              <w:jc w:val="center"/>
              <w:textAlignment w:val="center"/>
              <w:rPr>
                <w:rFonts w:hint="eastAsia" w:ascii="黑体" w:hAnsi="黑体" w:eastAsia="黑体" w:cs="黑体"/>
                <w:b w:val="0"/>
                <w:bCs w:val="0"/>
                <w:i w:val="0"/>
                <w:iCs w:val="0"/>
                <w:color w:val="auto"/>
                <w:sz w:val="24"/>
                <w:szCs w:val="24"/>
                <w:u w:val="none"/>
              </w:rPr>
            </w:pPr>
            <w:r>
              <w:rPr>
                <w:rFonts w:hint="eastAsia" w:ascii="黑体" w:hAnsi="黑体" w:eastAsia="黑体" w:cs="黑体"/>
                <w:b w:val="0"/>
                <w:bCs w:val="0"/>
                <w:i w:val="0"/>
                <w:iCs w:val="0"/>
                <w:color w:val="auto"/>
                <w:kern w:val="0"/>
                <w:sz w:val="24"/>
                <w:szCs w:val="24"/>
                <w:u w:val="none"/>
                <w:lang w:val="en-US" w:eastAsia="zh-CN" w:bidi="ar"/>
              </w:rPr>
              <w:t>审查项目</w:t>
            </w:r>
          </w:p>
        </w:tc>
        <w:tc>
          <w:tcPr>
            <w:tcW w:w="1622" w:type="pct"/>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黑体" w:hAnsi="黑体" w:eastAsia="黑体" w:cs="黑体"/>
                <w:b w:val="0"/>
                <w:bCs w:val="0"/>
                <w:i w:val="0"/>
                <w:iCs w:val="0"/>
                <w:color w:val="auto"/>
                <w:sz w:val="24"/>
                <w:szCs w:val="24"/>
                <w:u w:val="none"/>
              </w:rPr>
            </w:pPr>
            <w:r>
              <w:rPr>
                <w:rFonts w:hint="eastAsia" w:ascii="黑体" w:hAnsi="黑体" w:eastAsia="黑体" w:cs="黑体"/>
                <w:b w:val="0"/>
                <w:bCs w:val="0"/>
                <w:i w:val="0"/>
                <w:iCs w:val="0"/>
                <w:color w:val="auto"/>
                <w:kern w:val="0"/>
                <w:sz w:val="24"/>
                <w:szCs w:val="24"/>
                <w:u w:val="none"/>
                <w:lang w:val="en-US" w:eastAsia="zh-CN" w:bidi="ar"/>
              </w:rPr>
              <w:t>审查内容</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黑体" w:hAnsi="黑体" w:eastAsia="黑体" w:cs="黑体"/>
                <w:b w:val="0"/>
                <w:bCs w:val="0"/>
                <w:i w:val="0"/>
                <w:iCs w:val="0"/>
                <w:color w:val="auto"/>
                <w:sz w:val="24"/>
                <w:szCs w:val="24"/>
                <w:u w:val="none"/>
              </w:rPr>
            </w:pPr>
            <w:r>
              <w:rPr>
                <w:rFonts w:hint="eastAsia" w:ascii="黑体" w:hAnsi="黑体" w:eastAsia="黑体" w:cs="黑体"/>
                <w:b w:val="0"/>
                <w:bCs w:val="0"/>
                <w:i w:val="0"/>
                <w:iCs w:val="0"/>
                <w:color w:val="auto"/>
                <w:kern w:val="0"/>
                <w:sz w:val="24"/>
                <w:szCs w:val="24"/>
                <w:u w:val="none"/>
                <w:lang w:val="en-US" w:eastAsia="zh-CN" w:bidi="ar"/>
              </w:rPr>
              <w:t>审查方法</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黑体" w:hAnsi="黑体" w:eastAsia="黑体" w:cs="黑体"/>
                <w:b w:val="0"/>
                <w:bCs w:val="0"/>
                <w:i w:val="0"/>
                <w:iCs w:val="0"/>
                <w:color w:val="auto"/>
                <w:sz w:val="24"/>
                <w:szCs w:val="24"/>
                <w:u w:val="none"/>
              </w:rPr>
            </w:pPr>
            <w:r>
              <w:rPr>
                <w:rFonts w:hint="eastAsia" w:ascii="黑体" w:hAnsi="黑体" w:eastAsia="黑体" w:cs="黑体"/>
                <w:b w:val="0"/>
                <w:bCs w:val="0"/>
                <w:i w:val="0"/>
                <w:iCs w:val="0"/>
                <w:color w:val="auto"/>
                <w:kern w:val="0"/>
                <w:sz w:val="24"/>
                <w:szCs w:val="24"/>
                <w:u w:val="none"/>
                <w:lang w:val="en-US" w:eastAsia="zh-CN" w:bidi="ar"/>
              </w:rPr>
              <w:t>评分标准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黑体" w:hAnsi="黑体" w:eastAsia="黑体" w:cs="黑体"/>
                <w:b w:val="0"/>
                <w:bCs w:val="0"/>
                <w:i w:val="0"/>
                <w:iCs w:val="0"/>
                <w:color w:val="auto"/>
                <w:kern w:val="2"/>
                <w:sz w:val="24"/>
                <w:szCs w:val="24"/>
                <w:u w:val="none"/>
                <w:lang w:val="en-US" w:eastAsia="zh-CN" w:bidi="ar-SA"/>
              </w:rPr>
            </w:pPr>
            <w:r>
              <w:rPr>
                <w:rFonts w:hint="eastAsia" w:ascii="黑体" w:hAnsi="黑体" w:eastAsia="黑体" w:cs="黑体"/>
                <w:b w:val="0"/>
                <w:bCs w:val="0"/>
                <w:i w:val="0"/>
                <w:iCs w:val="0"/>
                <w:color w:val="auto"/>
                <w:kern w:val="0"/>
                <w:sz w:val="24"/>
                <w:szCs w:val="24"/>
                <w:u w:val="none"/>
                <w:lang w:val="en-US" w:eastAsia="zh-CN" w:bidi="ar"/>
              </w:rPr>
              <w:t>分值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45" w:hRule="atLeast"/>
        </w:trPr>
        <w:tc>
          <w:tcPr>
            <w:tcW w:w="475" w:type="pc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一、基本标准（165分）</w:t>
            </w: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（一）床位</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★床位（牙椅）编制配置：</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①中医（中西医结合、民族医）医院住院床位总数</w:t>
            </w:r>
            <w:r>
              <w:rPr>
                <w:rStyle w:val="9"/>
                <w:rFonts w:hint="eastAsia" w:ascii="仿宋_GB2312" w:hAnsi="仿宋_GB2312" w:eastAsia="仿宋_GB2312" w:cs="仿宋_GB2312"/>
                <w:color w:val="auto"/>
                <w:sz w:val="24"/>
                <w:szCs w:val="24"/>
                <w:lang w:val="en-US" w:eastAsia="zh-CN" w:bidi="ar"/>
              </w:rPr>
              <w:t>≧</w:t>
            </w:r>
            <w:r>
              <w:rPr>
                <w:rStyle w:val="10"/>
                <w:rFonts w:hint="eastAsia" w:ascii="仿宋_GB2312" w:hAnsi="仿宋_GB2312" w:eastAsia="仿宋_GB2312" w:cs="仿宋_GB2312"/>
                <w:color w:val="auto"/>
                <w:sz w:val="24"/>
                <w:szCs w:val="24"/>
                <w:lang w:val="en-US" w:eastAsia="zh-CN" w:bidi="ar"/>
              </w:rPr>
              <w:t>400张。</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②中西医结合骨科医院床位总数</w:t>
            </w:r>
            <w:r>
              <w:rPr>
                <w:rStyle w:val="9"/>
                <w:rFonts w:hint="eastAsia" w:ascii="仿宋_GB2312" w:hAnsi="仿宋_GB2312" w:eastAsia="仿宋_GB2312" w:cs="仿宋_GB2312"/>
                <w:color w:val="auto"/>
                <w:sz w:val="24"/>
                <w:szCs w:val="24"/>
                <w:lang w:val="en-US" w:eastAsia="zh-CN" w:bidi="ar"/>
              </w:rPr>
              <w:t>≧</w:t>
            </w:r>
            <w:r>
              <w:rPr>
                <w:rStyle w:val="10"/>
                <w:rFonts w:hint="eastAsia" w:ascii="仿宋_GB2312" w:hAnsi="仿宋_GB2312" w:eastAsia="仿宋_GB2312" w:cs="仿宋_GB2312"/>
                <w:color w:val="auto"/>
                <w:sz w:val="24"/>
                <w:szCs w:val="24"/>
                <w:lang w:val="en-US" w:eastAsia="zh-CN" w:bidi="ar"/>
              </w:rPr>
              <w:t>300张（其中骨科专业床位占比</w:t>
            </w:r>
            <w:r>
              <w:rPr>
                <w:rStyle w:val="9"/>
                <w:rFonts w:hint="eastAsia" w:ascii="仿宋_GB2312" w:hAnsi="仿宋_GB2312" w:eastAsia="仿宋_GB2312" w:cs="仿宋_GB2312"/>
                <w:color w:val="auto"/>
                <w:sz w:val="24"/>
                <w:szCs w:val="24"/>
                <w:lang w:val="en-US" w:eastAsia="zh-CN" w:bidi="ar"/>
              </w:rPr>
              <w:t>≧</w:t>
            </w:r>
            <w:r>
              <w:rPr>
                <w:rStyle w:val="10"/>
                <w:rFonts w:hint="eastAsia" w:ascii="仿宋_GB2312" w:hAnsi="仿宋_GB2312" w:eastAsia="仿宋_GB2312" w:cs="仿宋_GB2312"/>
                <w:color w:val="auto"/>
                <w:sz w:val="24"/>
                <w:szCs w:val="24"/>
                <w:lang w:val="en-US" w:eastAsia="zh-CN" w:bidi="ar"/>
              </w:rPr>
              <w:t>60%）。</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查看批文、医疗机构执业许可证</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1.床位（牙椅）编制床位配置符合配置要求的，得10分，否则不得分。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2.实际开放床位数与申请登记（核准）床位数按以下情形计分：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①-5%&lt;（实际开放床位数－登记（核准）床位数）/登记（核准）&lt;5%，得20分；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②（实际开放床位数－登记（核准）床位数）/登记（核准）≥10%或≤-10%时，得15分；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③（实际开放床位数－登记（核准）床位数）/登记（核准）≥20%或≤-20%时，得10分；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④（实际开放床位数－登记（核准）床位数）/登记（核准）≥30%或≤-30%时，得5分；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⑤（实际开放床位数－登记（核准）床位数）/登记（核准）≥40%或≤-40%时，得0分；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60" w:hRule="atLeast"/>
        </w:trPr>
        <w:tc>
          <w:tcPr>
            <w:tcW w:w="475" w:type="pc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一、基本标准（165分）</w:t>
            </w: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（二）科室设置</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bCs/>
                <w:i w:val="0"/>
                <w:iCs w:val="0"/>
                <w:color w:val="auto"/>
                <w:sz w:val="24"/>
                <w:szCs w:val="24"/>
                <w:u w:val="none"/>
              </w:rPr>
            </w:pPr>
            <w:r>
              <w:rPr>
                <w:rFonts w:hint="eastAsia" w:ascii="仿宋_GB2312" w:hAnsi="仿宋_GB2312" w:eastAsia="仿宋_GB2312" w:cs="仿宋_GB2312"/>
                <w:b/>
                <w:bCs/>
                <w:i w:val="0"/>
                <w:iCs w:val="0"/>
                <w:color w:val="auto"/>
                <w:kern w:val="0"/>
                <w:sz w:val="24"/>
                <w:szCs w:val="24"/>
                <w:u w:val="none"/>
                <w:lang w:val="en-US" w:eastAsia="zh-CN" w:bidi="ar"/>
              </w:rPr>
              <w:t>★1.1中医医院、中西医结合医院、民族医医院：</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①临床科室设置：至少设有急诊科、内科、外科、妇产科、儿科、针灸科、康复科、骨伤科、肛肠科、皮肤科、眼科、推拿科（仅中医医院）、口腔科、耳鼻喉科；</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②医技科室：至少设有药剂科、检验科、放射科、病理科、血库（仅中西医结合医院）、消毒供应室、营养部和相应的临床功能检查室。</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③中医医院设立中医科或专病研究所（室），中西医结合医院设立中西医结合专科或专病研究所（室），壮医医院设立壮医等民族医学科。</w:t>
            </w:r>
            <w:r>
              <w:rPr>
                <w:rStyle w:val="10"/>
                <w:rFonts w:hint="eastAsia" w:ascii="仿宋_GB2312" w:hAnsi="仿宋_GB2312" w:eastAsia="仿宋_GB2312" w:cs="仿宋_GB2312"/>
                <w:color w:val="auto"/>
                <w:sz w:val="24"/>
                <w:szCs w:val="24"/>
                <w:lang w:val="en-US" w:eastAsia="zh-CN" w:bidi="ar"/>
              </w:rPr>
              <w:br w:type="textWrapping"/>
            </w:r>
            <w:r>
              <w:rPr>
                <w:rFonts w:hint="eastAsia" w:ascii="仿宋_GB2312" w:hAnsi="仿宋_GB2312" w:eastAsia="仿宋_GB2312" w:cs="仿宋_GB2312"/>
                <w:b/>
                <w:bCs/>
                <w:i w:val="0"/>
                <w:iCs w:val="0"/>
                <w:color w:val="auto"/>
                <w:kern w:val="0"/>
                <w:sz w:val="24"/>
                <w:szCs w:val="24"/>
                <w:u w:val="none"/>
                <w:lang w:val="en-US" w:eastAsia="zh-CN" w:bidi="ar"/>
              </w:rPr>
              <w:t>★</w:t>
            </w:r>
            <w:r>
              <w:rPr>
                <w:rStyle w:val="11"/>
                <w:rFonts w:hint="eastAsia" w:ascii="仿宋_GB2312" w:hAnsi="仿宋_GB2312" w:eastAsia="仿宋_GB2312" w:cs="仿宋_GB2312"/>
                <w:color w:val="auto"/>
                <w:sz w:val="24"/>
                <w:szCs w:val="24"/>
                <w:lang w:val="en-US" w:eastAsia="zh-CN" w:bidi="ar"/>
              </w:rPr>
              <w:t>1.2中西医结合骨科医院：</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①临床科室：至少设有创伤骨科、关节科、脊柱科、手外科、小儿骨科、骨肿瘤科、骨伤科、康复科、内科、重症医学科、急诊科、麻醉科；</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②医技科室：至少设有药剂科、放射科、检验科、病案室、营养部和相应的临床功能检查室。</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现场考查科室设置，查阅资料。</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科室设置数量符合科室设置标准的，得20分；否则，每少1个科室扣1分，扣完为止。</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4" w:hRule="atLeast"/>
        </w:trPr>
        <w:tc>
          <w:tcPr>
            <w:tcW w:w="475" w:type="pc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一、基本标准（165分）</w:t>
            </w: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（三）人员配备</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after="180" w:afterAutospacing="0"/>
              <w:jc w:val="both"/>
              <w:textAlignment w:val="center"/>
              <w:rPr>
                <w:rFonts w:hint="default" w:ascii="仿宋_GB2312" w:hAnsi="仿宋_GB2312" w:eastAsia="仿宋_GB2312" w:cs="仿宋_GB2312"/>
                <w:i w:val="0"/>
                <w:iCs w:val="0"/>
                <w:color w:val="auto"/>
                <w:kern w:val="0"/>
                <w:sz w:val="24"/>
                <w:szCs w:val="24"/>
                <w:u w:val="none"/>
                <w:lang w:val="en-US" w:eastAsia="zh-CN" w:bidi="ar"/>
              </w:rPr>
            </w:pPr>
            <w:r>
              <w:rPr>
                <w:rFonts w:hint="eastAsia" w:ascii="仿宋_GB2312" w:hAnsi="仿宋_GB2312" w:eastAsia="仿宋_GB2312" w:cs="仿宋_GB2312"/>
                <w:b/>
                <w:bCs/>
                <w:i w:val="0"/>
                <w:iCs w:val="0"/>
                <w:color w:val="auto"/>
                <w:kern w:val="0"/>
                <w:sz w:val="24"/>
                <w:szCs w:val="24"/>
                <w:u w:val="none"/>
                <w:lang w:val="en-US" w:eastAsia="zh-CN" w:bidi="ar"/>
              </w:rPr>
              <w:t>★</w:t>
            </w:r>
            <w:r>
              <w:rPr>
                <w:rFonts w:hint="eastAsia" w:ascii="仿宋_GB2312" w:hAnsi="仿宋_GB2312" w:eastAsia="仿宋_GB2312" w:cs="仿宋_GB2312"/>
                <w:i w:val="0"/>
                <w:iCs w:val="0"/>
                <w:color w:val="auto"/>
                <w:kern w:val="0"/>
                <w:sz w:val="24"/>
                <w:szCs w:val="24"/>
                <w:u w:val="none"/>
                <w:lang w:val="en-US" w:eastAsia="zh-CN" w:bidi="ar"/>
              </w:rPr>
              <w:t>人员配备：</w:t>
            </w:r>
          </w:p>
          <w:p>
            <w:pPr>
              <w:keepNext w:val="0"/>
              <w:keepLines w:val="0"/>
              <w:widowControl/>
              <w:suppressLineNumbers w:val="0"/>
              <w:spacing w:after="180" w:afterAutospacing="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①每床至少配有1.1名卫生技术人员；</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②每床至少配有0.4名护士；</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③中医人员（含西学中）占卫生技术人员总数的比例不低于60％；</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各临床科室的主任必须是具有副主任医师以上职称的医师，其中中医医院、民族医院至少有60％为中医类别执业医师资格（含西学中人员），中西医结合医院和中西医结合骨科医院至少有40％为中西医结合医师或中医医师（含西学中人员）；</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⑤至少有1名具有副主任药师以上职称的中药师，检验、放射科具有副主任技师、副主任医师以上职称；</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⑥至少有1名临床营养师；</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⑦工程技术人员（技师、助理工程师及以上人员）占卫生技术人员的比例不低于1％。</w:t>
            </w:r>
            <w:r>
              <w:rPr>
                <w:rFonts w:hint="eastAsia" w:ascii="仿宋_GB2312" w:hAnsi="仿宋_GB2312" w:eastAsia="仿宋_GB2312" w:cs="仿宋_GB2312"/>
                <w:i w:val="0"/>
                <w:iCs w:val="0"/>
                <w:color w:val="auto"/>
                <w:kern w:val="0"/>
                <w:sz w:val="24"/>
                <w:szCs w:val="24"/>
                <w:u w:val="none"/>
                <w:lang w:val="en-US" w:eastAsia="zh-CN" w:bidi="ar"/>
              </w:rPr>
              <w:br w:type="textWrapping"/>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核查人员花名册、排班表等，查看人员的学历证书、执业证书、职称证书等。</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人员配备全部符合要求得65分，否则按以下情形计分：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①每床至少配有1.1名卫生技术人员的，得10分，否则不得分；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②每床至少配有0.4名护士的，得10分，否则不得分；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w:t>
            </w:r>
            <w:r>
              <w:rPr>
                <w:rFonts w:hint="eastAsia" w:ascii="仿宋_GB2312" w:hAnsi="仿宋_GB2312" w:eastAsia="仿宋_GB2312" w:cs="仿宋_GB2312"/>
                <w:i w:val="0"/>
                <w:iCs w:val="0"/>
                <w:color w:val="auto"/>
                <w:spacing w:val="-6"/>
                <w:kern w:val="0"/>
                <w:sz w:val="24"/>
                <w:szCs w:val="24"/>
                <w:u w:val="none"/>
                <w:lang w:val="en-US" w:eastAsia="zh-CN" w:bidi="ar"/>
              </w:rPr>
              <w:t>中医人员占卫生技术人员总数的比例≥60％的，得10分，否则，每少10%扣2分，扣完为止；</w:t>
            </w:r>
            <w:r>
              <w:rPr>
                <w:rFonts w:hint="eastAsia" w:ascii="仿宋_GB2312" w:hAnsi="仿宋_GB2312" w:eastAsia="仿宋_GB2312" w:cs="仿宋_GB2312"/>
                <w:i w:val="0"/>
                <w:iCs w:val="0"/>
                <w:color w:val="auto"/>
                <w:spacing w:val="-6"/>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各临床科室的主任必须是具有副主任医师以上职称的医师，其中：中医医院和民族医医院≥60％为中医类别执业医师资格的，得20分；≥40％为中西医结合医师或中医医师，得20分；否则每发现1个临床科室不符合要求扣1分，中医类别医师占比每少10%扣2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每少1个临床科室的主任不符合具有副主任医师以上职称的医师，其中&lt;40％为中西医结合医师或中医医师的，扣2分，扣完为止。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⑤至少有1名具有副主任药师以上职称的中药师，检验、放射科具有副主任技师、副主任医师以上职称的，得10分；否则，每少一个扣3分，扣完为止。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⑥至少有1名临床营养师的，得2分，否则不得分。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⑦工程技术人员（技师、助理工程师及以上人员）占卫生技术人员的比例≥1％的，得3分，否则不得分。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65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40" w:hRule="atLeast"/>
        </w:trPr>
        <w:tc>
          <w:tcPr>
            <w:tcW w:w="475" w:type="pct"/>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一、基本标准（165分）</w:t>
            </w: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（四）房屋面积</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b/>
                <w:bCs/>
                <w:i w:val="0"/>
                <w:iCs w:val="0"/>
                <w:color w:val="auto"/>
                <w:kern w:val="0"/>
                <w:sz w:val="24"/>
                <w:szCs w:val="24"/>
                <w:u w:val="none"/>
                <w:lang w:val="en-US" w:eastAsia="zh-CN" w:bidi="ar"/>
              </w:rPr>
              <w:t>★</w:t>
            </w:r>
            <w:r>
              <w:rPr>
                <w:rFonts w:hint="eastAsia" w:ascii="仿宋_GB2312" w:hAnsi="仿宋_GB2312" w:eastAsia="仿宋_GB2312" w:cs="仿宋_GB2312"/>
                <w:i w:val="0"/>
                <w:iCs w:val="0"/>
                <w:color w:val="auto"/>
                <w:kern w:val="0"/>
                <w:sz w:val="24"/>
                <w:szCs w:val="24"/>
                <w:u w:val="none"/>
                <w:lang w:val="en-US" w:eastAsia="zh-CN" w:bidi="ar"/>
              </w:rPr>
              <w:t>每床建筑面积≥100平方米</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核查医疗机构业务用房面积、每床净使用面积、日平均每门诊人次占门诊建筑面积等。核查相应科室的建筑面积或使用面积。</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按申报床位（牙椅）数计算，每床建筑面积：≥100平方米的，得20分；每少10平方米扣1分，</w:t>
            </w:r>
            <w:r>
              <w:rPr>
                <w:rStyle w:val="12"/>
                <w:rFonts w:hint="eastAsia" w:ascii="仿宋_GB2312" w:hAnsi="仿宋_GB2312" w:eastAsia="仿宋_GB2312" w:cs="仿宋_GB2312"/>
                <w:color w:val="auto"/>
                <w:sz w:val="24"/>
                <w:szCs w:val="24"/>
                <w:lang w:val="en-US" w:eastAsia="zh-CN" w:bidi="ar"/>
              </w:rPr>
              <w:t>&lt;</w:t>
            </w:r>
            <w:r>
              <w:rPr>
                <w:rStyle w:val="13"/>
                <w:rFonts w:hint="eastAsia" w:ascii="仿宋_GB2312" w:hAnsi="仿宋_GB2312" w:eastAsia="仿宋_GB2312" w:cs="仿宋_GB2312"/>
                <w:color w:val="auto"/>
                <w:sz w:val="24"/>
                <w:szCs w:val="24"/>
                <w:lang w:val="en-US" w:eastAsia="zh-CN" w:bidi="ar"/>
              </w:rPr>
              <w:t>45</w:t>
            </w:r>
            <w:r>
              <w:rPr>
                <w:rStyle w:val="9"/>
                <w:rFonts w:hint="eastAsia" w:ascii="仿宋_GB2312" w:hAnsi="仿宋_GB2312" w:eastAsia="仿宋_GB2312" w:cs="仿宋_GB2312"/>
                <w:color w:val="auto"/>
                <w:sz w:val="24"/>
                <w:szCs w:val="24"/>
                <w:lang w:val="en-US" w:eastAsia="zh-CN" w:bidi="ar"/>
              </w:rPr>
              <w:t>平方米不得分。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51" w:hRule="atLeast"/>
        </w:trPr>
        <w:tc>
          <w:tcPr>
            <w:tcW w:w="475" w:type="pct"/>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（五）设备配备</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b/>
                <w:bCs/>
                <w:i w:val="0"/>
                <w:iCs w:val="0"/>
                <w:color w:val="auto"/>
                <w:kern w:val="0"/>
                <w:sz w:val="24"/>
                <w:szCs w:val="24"/>
                <w:u w:val="none"/>
                <w:lang w:val="en-US" w:eastAsia="zh-CN" w:bidi="ar"/>
              </w:rPr>
              <w:t>★</w:t>
            </w:r>
            <w:r>
              <w:rPr>
                <w:rFonts w:hint="eastAsia" w:ascii="仿宋_GB2312" w:hAnsi="仿宋_GB2312" w:eastAsia="仿宋_GB2312" w:cs="仿宋_GB2312"/>
                <w:i w:val="0"/>
                <w:iCs w:val="0"/>
                <w:color w:val="auto"/>
                <w:kern w:val="0"/>
                <w:sz w:val="24"/>
                <w:szCs w:val="24"/>
                <w:u w:val="none"/>
                <w:lang w:val="en-US" w:eastAsia="zh-CN" w:bidi="ar"/>
              </w:rPr>
              <w:t>临床科室、医技科室、中药房的基本设备、病房每床单元设备、与开展的诊疗科目相应的其他设备能够满足诊疗活动的需要，达到国家中医药管理局《中医医院医疗设备配置标准（试行）》。</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按照《三级中医医院医疗设备配置标准》，核查临床科室、医技科室、中药房设备是否符合要求。</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设备配备符合《三级中医医院医疗设备配置标准》并能正常使用计算，按照以下情形计分：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临床科室、医技科室、中药房设备配备均符合《三级中医医院医疗设备配置标准》并能正常使用的，得15分；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每少1个科室的设备配备不符合《三级中医医院医疗设备配置标准》或不能正常使用的，扣1分，扣完为止。</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83" w:hRule="atLeast"/>
        </w:trPr>
        <w:tc>
          <w:tcPr>
            <w:tcW w:w="475" w:type="pct"/>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（六）规章制度</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b/>
                <w:bCs/>
                <w:i w:val="0"/>
                <w:iCs w:val="0"/>
                <w:color w:val="auto"/>
                <w:kern w:val="0"/>
                <w:sz w:val="24"/>
                <w:szCs w:val="24"/>
                <w:u w:val="none"/>
                <w:lang w:val="en-US" w:eastAsia="zh-CN" w:bidi="ar"/>
              </w:rPr>
              <w:t>★</w:t>
            </w:r>
            <w:r>
              <w:rPr>
                <w:rFonts w:hint="eastAsia" w:ascii="仿宋_GB2312" w:hAnsi="仿宋_GB2312" w:eastAsia="仿宋_GB2312" w:cs="仿宋_GB2312"/>
                <w:i w:val="0"/>
                <w:iCs w:val="0"/>
                <w:color w:val="auto"/>
                <w:kern w:val="0"/>
                <w:sz w:val="24"/>
                <w:szCs w:val="24"/>
                <w:u w:val="none"/>
                <w:lang w:val="en-US" w:eastAsia="zh-CN" w:bidi="ar"/>
              </w:rPr>
              <w:t>制订各项规章制度、人员岗位责任制，有国家制定或认可的医疗护理技术操作规程，应急管理规定，并成册可用。</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查阅相关制度及有关医疗护理技术操作规范、常规等资料</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①有人员岗位职责得2分，否则不得分；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②有国家制定或认可的医疗技术操作规程、诊疗规范、管理规定齐全并装订成册的，得5分，每少1个技术的扣1分，扣完为止；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③有国家制定或认可的护理技术操作规程、诊疗规范、管理规定齐全并装订成册的，得5分，每少1个技术的扣1分，扣完为止；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④有应急、消防、行风管理规定齐全并装订成册的，得3分，每一项有缺漏的扣1分，扣完为止。</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6" w:hRule="atLeast"/>
        </w:trPr>
        <w:tc>
          <w:tcPr>
            <w:tcW w:w="475" w:type="pct"/>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二、医院管理（245分）</w:t>
            </w:r>
          </w:p>
        </w:tc>
        <w:tc>
          <w:tcPr>
            <w:tcW w:w="411"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（一）依法执业（80分）</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1.医疗机构应按期申请执业校验。</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核查医疗机构是否按期申请执业校验。</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 xml:space="preserve">①在校验期满前1—3个月申请执业校验的，得10分。                 </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②在校验期满前0-1个月申请执业校验的，得6分。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③在校验期满后≤20日内申请执业校验的，得2分。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④在校验期满后&gt;20日内申请执业校验的，得0分。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80" w:hRule="atLeast"/>
        </w:trPr>
        <w:tc>
          <w:tcPr>
            <w:tcW w:w="475" w:type="pct"/>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2.医疗机构应按核准登记的项目进行执业。</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核查开设的科室、血透机等情况。</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60" w:lineRule="exact"/>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①未在走廊等非病房开设床位的（突发公共卫生事件或灾难性事件救治等特殊原因除外），得3分；否则，每1个临床科室（病区）在走廊等非病房开设床位的扣1分，扣完为止。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②诊疗活动未超出登记的诊疗科目范围的，得5分；否则每1个诊疗活动超出登记的诊疗科目范围的扣2分，扣完为止。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③血液透析室的血液透析机数量与核准登记数量一致的，得2分，否则，超过1台透析机扣1分，扣完为止。</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40" w:hRule="atLeast"/>
        </w:trPr>
        <w:tc>
          <w:tcPr>
            <w:tcW w:w="475" w:type="pc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二、医院管理（245分）</w:t>
            </w: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（一）依法执业（80分）</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3.医疗机构名称应规范。</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核查医疗机构牌匾、印章等，核准名称是否与医疗机构执业许可证一致。</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60" w:lineRule="exact"/>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医疗机构按照规定命名的，得10分，否则按以下情形扣分：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①医疗机构有两个或者两个以上名称的，除第一名称外，其他名称未在《医疗机构执业许可证》副本备注栏予以标注的，扣2分。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②分院区登记名称未按照“主院区名称+识别名+院区/分院”命名的，扣2分。（除符合条件的分院区和国家层面推动的区域医疗中心建设项目单位外，其他非分院区的医院不允许按照此格式命名）</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③医疗集团、医联体、医院托管、对口支援等合作模式的成员单位以“某某医院+识别名+院区/分院/医院”形式命名的，扣1分。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④未经批准，医疗机构名称以“中心”等冠名的，每发现1个扣1分。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⑤其他名称使用不规范情形，扣1分。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⑥未按医疗机构执业许可证核准的医疗机构名称悬挂牌匾的，扣1分。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0" w:hRule="atLeast"/>
        </w:trPr>
        <w:tc>
          <w:tcPr>
            <w:tcW w:w="475"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二、医院管理（245分）</w:t>
            </w:r>
          </w:p>
        </w:tc>
        <w:tc>
          <w:tcPr>
            <w:tcW w:w="411"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（一）依法执业（80分）</w:t>
            </w:r>
          </w:p>
        </w:tc>
        <w:tc>
          <w:tcPr>
            <w:tcW w:w="121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★4.不良执业行为记分情况。</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核查医疗机构校验周期内的不良执业行为记分情况。</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校验周期内无医疗机构不良执业行为扣分的，得10分，否则按以下情形计分：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①校验期每年不良执业行为记分在0-4分的，得8分；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②校验期每年不良执业行为记分在4—8分的，得5分；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③校验期每年不良执业行为记分在8—12分的，得2分。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60" w:hRule="atLeast"/>
        </w:trPr>
        <w:tc>
          <w:tcPr>
            <w:tcW w:w="47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left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5.卫生技术人员应依法执业。</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对照值班表或处方、医嘱，核查医师执业证书、护士执业证书及其他岗位证书。</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按规定使用卫生技术人员从事相应的诊疗活动的，得10分，否则按以下情形扣分，扣完为止：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①使用不具有医学专业学历且未取得卫生技术人员资格或者职称的人员从事诊疗、临床护理活动的，每人扣1分。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②使用医学院校实习生或者具有医学专业学历但尚未取得相应资格的人员独立从事诊疗、临床护理活动的，每人扣1分。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③使用取得相应资格但未经注册（备案）在非本医疗机构的医师或者护士独立从事诊疗、临床护理活动的，每人扣1分。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w:t>
            </w:r>
            <w:r>
              <w:rPr>
                <w:rFonts w:hint="eastAsia" w:ascii="仿宋_GB2312" w:hAnsi="仿宋_GB2312" w:eastAsia="仿宋_GB2312" w:cs="仿宋_GB2312"/>
                <w:i w:val="0"/>
                <w:iCs w:val="0"/>
                <w:color w:val="auto"/>
                <w:spacing w:val="-6"/>
                <w:kern w:val="0"/>
                <w:sz w:val="24"/>
                <w:szCs w:val="24"/>
                <w:u w:val="none"/>
                <w:lang w:val="en-US" w:eastAsia="zh-CN" w:bidi="ar"/>
              </w:rPr>
              <w:t>使用定期考核不合格的医师独立从事诊疗活动的、有效期届满未延续注册的护士独立从事临床护理活动的、卫生技术人员独立从事本专业以外诊疗活动的，每人扣1分。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0" w:hRule="atLeast"/>
        </w:trPr>
        <w:tc>
          <w:tcPr>
            <w:tcW w:w="47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6.按规定办理《放射诊疗许可证》。</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核查医疗机构的放射诊疗设备情况。</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按规定办理《放射诊疗许可证》的，得10分，否则按以下情形扣分，扣完为止：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①使用放射诊疗设备但未办理《放射诊疗许可证》或未按期申请《放射诊疗许可证》校验，扣10分。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②使用的放射诊疗设备未登记的，每台扣1分。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③登记的放射诊疗设备及其工作场所未按规定进行年度防护、性能检测的，每台设备或场所扣1分。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75" w:type="pct"/>
            <w:vMerge w:val="restart"/>
            <w:tcBorders>
              <w:top w:val="single" w:color="000000" w:sz="4" w:space="0"/>
              <w:left w:val="single" w:color="000000" w:sz="4" w:space="0"/>
              <w:bottom w:val="single" w:color="auto"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二、医院管理（245分）</w:t>
            </w:r>
          </w:p>
        </w:tc>
        <w:tc>
          <w:tcPr>
            <w:tcW w:w="411"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（一）依法执业（80分）</w:t>
            </w:r>
          </w:p>
        </w:tc>
        <w:tc>
          <w:tcPr>
            <w:tcW w:w="1210"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7.大型医用设备配备符合规定。</w:t>
            </w:r>
          </w:p>
        </w:tc>
        <w:tc>
          <w:tcPr>
            <w:tcW w:w="632"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核查医疗机构的大型医用设备配置许可证。</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甲乙类大型医用设备按规定配置许可证的，得5分，否则不得分。</w:t>
            </w:r>
          </w:p>
        </w:tc>
        <w:tc>
          <w:tcPr>
            <w:tcW w:w="253" w:type="pct"/>
            <w:vMerge w:val="restar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475" w:type="pct"/>
            <w:vMerge w:val="continue"/>
            <w:tcBorders>
              <w:top w:val="single" w:color="auto" w:sz="4" w:space="0"/>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仿宋_GB2312" w:hAnsi="仿宋_GB2312" w:eastAsia="仿宋_GB2312" w:cs="仿宋_GB2312"/>
                <w:i w:val="0"/>
                <w:iCs w:val="0"/>
                <w:color w:val="auto"/>
                <w:sz w:val="24"/>
                <w:szCs w:val="24"/>
                <w:u w:val="none"/>
              </w:rPr>
            </w:pPr>
          </w:p>
        </w:tc>
        <w:tc>
          <w:tcPr>
            <w:tcW w:w="632"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both"/>
              <w:rPr>
                <w:rFonts w:hint="eastAsia" w:ascii="仿宋_GB2312" w:hAnsi="仿宋_GB2312" w:eastAsia="仿宋_GB2312" w:cs="仿宋_GB2312"/>
                <w:i w:val="0"/>
                <w:iCs w:val="0"/>
                <w:color w:val="auto"/>
                <w:sz w:val="24"/>
                <w:szCs w:val="24"/>
                <w:u w:val="none"/>
              </w:rPr>
            </w:pP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已使用甲类、乙类大型医用设备按规定进行设备信息登记的，得5分，否则未备案的每台设备扣1分，扣完为止。</w:t>
            </w:r>
          </w:p>
        </w:tc>
        <w:tc>
          <w:tcPr>
            <w:tcW w:w="253"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_GB2312" w:hAnsi="仿宋_GB2312" w:eastAsia="仿宋_GB2312" w:cs="仿宋_GB2312"/>
                <w:i w:val="0"/>
                <w:iCs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7" w:hRule="atLeast"/>
        </w:trPr>
        <w:tc>
          <w:tcPr>
            <w:tcW w:w="475" w:type="pct"/>
            <w:vMerge w:val="continue"/>
            <w:tcBorders>
              <w:top w:val="single" w:color="auto" w:sz="4" w:space="0"/>
              <w:left w:val="single" w:color="000000" w:sz="4" w:space="0"/>
              <w:bottom w:val="single" w:color="auto"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411"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1210"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8.开展母婴保健技术服务的医疗机构应持有有效的《母婴保健技术服务执业许可证》，人员持有相应证书。</w:t>
            </w:r>
          </w:p>
        </w:tc>
        <w:tc>
          <w:tcPr>
            <w:tcW w:w="632"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核查《母婴保健技术执业服务许可证》，看是否按批准的项目执业；查看对照值班表和处方、医嘱，核查人员相关证件。</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取得批准并按许可证登记项目开展母婴保健技术服务的，得5分，否则该项不得分。</w:t>
            </w:r>
          </w:p>
        </w:tc>
        <w:tc>
          <w:tcPr>
            <w:tcW w:w="253" w:type="pct"/>
            <w:vMerge w:val="restar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80" w:hRule="atLeast"/>
        </w:trPr>
        <w:tc>
          <w:tcPr>
            <w:tcW w:w="475" w:type="pct"/>
            <w:vMerge w:val="continue"/>
            <w:tcBorders>
              <w:top w:val="single" w:color="auto" w:sz="4" w:space="0"/>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仿宋_GB2312" w:hAnsi="仿宋_GB2312" w:eastAsia="仿宋_GB2312" w:cs="仿宋_GB2312"/>
                <w:i w:val="0"/>
                <w:iCs w:val="0"/>
                <w:color w:val="auto"/>
                <w:sz w:val="24"/>
                <w:szCs w:val="24"/>
                <w:u w:val="none"/>
              </w:rPr>
            </w:pPr>
          </w:p>
        </w:tc>
        <w:tc>
          <w:tcPr>
            <w:tcW w:w="632"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both"/>
              <w:rPr>
                <w:rFonts w:hint="eastAsia" w:ascii="仿宋_GB2312" w:hAnsi="仿宋_GB2312" w:eastAsia="仿宋_GB2312" w:cs="仿宋_GB2312"/>
                <w:i w:val="0"/>
                <w:iCs w:val="0"/>
                <w:color w:val="auto"/>
                <w:sz w:val="24"/>
                <w:szCs w:val="24"/>
                <w:u w:val="none"/>
              </w:rPr>
            </w:pP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人员按规定取得母婴保健技术服务资格，从事母婴保健技术服务工作的，得5分，否则每一人未取得资格证的扣1分，扣完为止。</w:t>
            </w:r>
          </w:p>
        </w:tc>
        <w:tc>
          <w:tcPr>
            <w:tcW w:w="253"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_GB2312" w:hAnsi="仿宋_GB2312" w:eastAsia="仿宋_GB2312" w:cs="仿宋_GB2312"/>
                <w:i w:val="0"/>
                <w:iCs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475" w:type="pct"/>
            <w:vMerge w:val="continue"/>
            <w:tcBorders>
              <w:top w:val="single" w:color="auto" w:sz="4" w:space="0"/>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（二）组织管理（30分）</w:t>
            </w:r>
          </w:p>
        </w:tc>
        <w:tc>
          <w:tcPr>
            <w:tcW w:w="121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1.医院应有健全的科学管理体系，医院领导职责分工明确。</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查医院领导正、副职分工文件。</w:t>
            </w:r>
          </w:p>
        </w:tc>
        <w:tc>
          <w:tcPr>
            <w:tcW w:w="2016"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有领导职责分工相关文件的，得10分，否则不得分。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60" w:hRule="atLeast"/>
        </w:trPr>
        <w:tc>
          <w:tcPr>
            <w:tcW w:w="475" w:type="pct"/>
            <w:vMerge w:val="continue"/>
            <w:tcBorders>
              <w:top w:val="single" w:color="auto" w:sz="4" w:space="0"/>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2.医院实行目标管理，并制定中、长期发展规划和年度计划；做好执行计划的协调、检查、考核与评价。</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查医院发展规划、周期内年度计划和总结，计划完成评价。</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有中、长期发展规划和年度计划的，得10分，否则按以下情形扣分：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①缺中长期规划的，扣4分；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②缺年度计划的，扣4分；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③未做好执行计划的协调、检查、考核评价的扣2分；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④材料全无扣10分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0" w:hRule="atLeast"/>
        </w:trPr>
        <w:tc>
          <w:tcPr>
            <w:tcW w:w="475" w:type="pct"/>
            <w:vMerge w:val="restart"/>
            <w:tcBorders>
              <w:top w:val="single" w:color="auto" w:sz="4" w:space="0"/>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二、医院管理（245分）</w:t>
            </w: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w:t>
            </w:r>
            <w:r>
              <w:rPr>
                <w:rFonts w:hint="eastAsia" w:ascii="仿宋_GB2312" w:hAnsi="仿宋_GB2312" w:eastAsia="仿宋_GB2312" w:cs="仿宋_GB2312"/>
                <w:i w:val="0"/>
                <w:iCs w:val="0"/>
                <w:color w:val="auto"/>
                <w:kern w:val="0"/>
                <w:sz w:val="24"/>
                <w:szCs w:val="24"/>
                <w:highlight w:val="none"/>
                <w:u w:val="none"/>
                <w:lang w:val="en-US" w:eastAsia="zh-CN" w:bidi="ar"/>
              </w:rPr>
              <w:t>二）组织管理（30分</w:t>
            </w:r>
            <w:r>
              <w:rPr>
                <w:rFonts w:hint="eastAsia" w:ascii="仿宋_GB2312" w:hAnsi="仿宋_GB2312" w:eastAsia="仿宋_GB2312" w:cs="仿宋_GB2312"/>
                <w:i w:val="0"/>
                <w:iCs w:val="0"/>
                <w:color w:val="auto"/>
                <w:kern w:val="0"/>
                <w:sz w:val="24"/>
                <w:szCs w:val="24"/>
                <w:u w:val="none"/>
                <w:lang w:val="en-US" w:eastAsia="zh-CN" w:bidi="ar"/>
              </w:rPr>
              <w:t>）</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3.完善综合评价体系， 体现中医特点，建立以中医临床疗效为核心、以服务能力与绩效为基础的考核和激励制度。</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随机抽查5个科室考评方案及绩效分配方案</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科室综合考核目标中体现中医药、民族医药特色优势和提高临床疗效指标的，得10分；否则按以下情形扣分：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①指标不具体，或未实施的，扣3分；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②部分实施的，扣1分；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③未实行绩效工资管理，不得分；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④考核结果未体现在科室分配方案中，每个科扣1分；部分体现，每个科室扣0.5分。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6" w:hRule="atLeast"/>
        </w:trPr>
        <w:tc>
          <w:tcPr>
            <w:tcW w:w="47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（三）信息管理（30分）</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1.设立相应的信息管理部门，包括病案室、统计室、图书室等；医院信息（包括医疗、病案统计、财务、人事、药库和图书情报等信息）实现信息化管理。</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查医院设置文件并现场检查，查信息化实施情况。</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相关部门实现信息化管理的，得10分，否则按以下情形扣分：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①缺1个部门，每个扣0.5分；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②未实行信息化管理扣10分。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47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2.病案及时归档，按自治区卫生行政部门现行要求进行编码，无丢失等现象。</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 xml:space="preserve"> 现场检查病案科（室）、抽查10份以上病案。</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病案及时归档并编码的，得10分，否则按以下情形扣分：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①发现一份病案有缺项的，扣1分，扣完为止；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②不按规定编码、无病历归档管理记录不得分。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6" w:hRule="atLeast"/>
        </w:trPr>
        <w:tc>
          <w:tcPr>
            <w:tcW w:w="47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3.各种统计、分析、编码及信息必须采用国家和部颁标准；数据真实，完整、准确，并及时得到分析、反馈与利用。</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查周期内各年度信息报表和信息工作总结。</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按标准统计、分析、数据并且真实完整的，得10分，否则，未按照标准统计、分析、编码的扣5分，数据不准、完整、真实的扣5分。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0" w:hRule="atLeast"/>
        </w:trPr>
        <w:tc>
          <w:tcPr>
            <w:tcW w:w="47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4.电子病历系统应用水平达到4级以</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上。</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查阅文件。</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电子病历系统达到4级及以上的，得5分，否则不得分。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0" w:hRule="atLeast"/>
        </w:trPr>
        <w:tc>
          <w:tcPr>
            <w:tcW w:w="475"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二、医院管理（245分）</w:t>
            </w:r>
          </w:p>
        </w:tc>
        <w:tc>
          <w:tcPr>
            <w:tcW w:w="411"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（四）财务管理（30分）</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1.严格执行国家颁发的财务制度，加强财经纪律，无重大违反财经制度事件发生。</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咨询审计等相关部门，查年度财务计划及结算报告，以及周期内被上级及相关管理部门处罚情况。</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严格执行国家颁发的财务制度且无重大违反财经制度事件发生的，得10分，否则按以下情形扣分：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①财务制度每缺1项，扣3分；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②有重大违反财务制度事件发生的（以卫生行政部门、审计部门、财政部门等有关部门通报为准），不得分。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47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2.严格执行收费标准，医疗服务项目主动公开、公开医保支付目录，执行住院费用清单制度。</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查医院收费公布和收费查询情况，并抽查50张以上门诊和10份住院病历的收费情况。</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严格执行收费标准的，医疗服务项目主动公开、公开医保支付目录，执行住院费用清单制度，得20分，否则按以下情形扣分：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①医疗服务项目收费标准和医保支付目录不公开扣10分；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②抽查病历收费情况，发现1例收费不符标准扣2分；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③不设收费查询系统扣5分；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④不提供患者住院清单扣3分。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0" w:hRule="atLeast"/>
        </w:trPr>
        <w:tc>
          <w:tcPr>
            <w:tcW w:w="47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（五）安全管理（50分）</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1.有健全的医院安全保卫管理组织、制度、措施和定期检查评价。</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查组织机构、相关文件和记录</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有健全的医院安全保卫管理组织、制度、措施并定期检查评价的，得10分，否则按以下情形扣分：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①缺管理组织的，扣3分；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②缺制度的，扣3分；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③缺措施的，扣3分；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④缺定期检查评价的，扣1分。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7" w:hRule="atLeast"/>
        </w:trPr>
        <w:tc>
          <w:tcPr>
            <w:tcW w:w="47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2.易发生危险的设备及部门有特殊的管理措施，如高压力系统、高压氧舱、氧气供应室、危险品仓库、同位素室、配电室、手术室、细菌室等。</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查相关管理制度、措施、记录。</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有完整的危险设备及特殊部门管理措施的，得10分，否则按以下情形扣分：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①缺制度措施扣5分；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②制度不健全扣2分；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③无相应管理记录的扣5分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9" w:hRule="atLeast"/>
        </w:trPr>
        <w:tc>
          <w:tcPr>
            <w:tcW w:w="475"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二、医院管理（245分）</w:t>
            </w:r>
          </w:p>
        </w:tc>
        <w:tc>
          <w:tcPr>
            <w:tcW w:w="411" w:type="pct"/>
            <w:vMerge w:val="restart"/>
            <w:tcBorders>
              <w:top w:val="single" w:color="000000" w:sz="4" w:space="0"/>
              <w:left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（五）安全管理（50分）</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★3.消防设备齐全，标志醒目，设备状况良好，定期检查更换，使用方便，安全疏散路线畅通，有消防部门检测合格证书。</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现场检查并查验证书。</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消防设备齐全、标志醒目，设备状况良好，安全疏散路线畅通且有消防部门检测合格证书的，得10分，否则按以下情形扣分：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①消防设备不齐的，扣3分；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②安全疏散路线有阻碍的，扣3分；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③无检测合格证书的，扣8分。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9" w:hRule="atLeast"/>
        </w:trPr>
        <w:tc>
          <w:tcPr>
            <w:tcW w:w="47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★4.严格执行医疗用毒性药品、麻醉药品、精神药品管理制度，做到专人负责、专柜加锁、专用账册、专用处方、专册登记；无毒麻药品丢失现象。</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查管理制度、使用情况及其记录。</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有毒麻、精神药品管理制度且专人负责、专柜加锁、专用账册、专用处方、专册登记，无药品丢失情况的，得20分；否则按以下情形扣分：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①管理制度、专人负责、专柜加锁、专用账册、专用处方、专册登记，缺1项扣3分；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②有毒麻药品丢失现象该项不得分。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7" w:hRule="atLeast"/>
        </w:trPr>
        <w:tc>
          <w:tcPr>
            <w:tcW w:w="475" w:type="pct"/>
            <w:vMerge w:val="continue"/>
            <w:tcBorders>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411"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（六）环境管理（25分）</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1.执行《无烟医疗卫生机构标准（试行）》、院区保持清洁干净，道路硬化，环境舒适。</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检查院内环境卫生情况。</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有禁烟标识且院区清洁干净、道路安全、环境舒适的，得10分，否则按以下情形扣分，扣完为止：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①无禁烟标识的，扣5分；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②院区卫生差乱、环境不舒适的，扣2分；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③院区道路有不安全隐患的，扣1分。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9" w:hRule="atLeast"/>
        </w:trPr>
        <w:tc>
          <w:tcPr>
            <w:tcW w:w="47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2.按照《医疗废物管理条例》等要求，规范处理医疗废物与污水。健全污水、污物、放射性物质等管理制度，医疗废物处理和污水排放符合有关规定。</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查阅相关制度、检测记录，并现场检查</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1.无医疗废物（包括污水处理）管理制度与处理规范，扣10分；</w:t>
            </w:r>
            <w:r>
              <w:rPr>
                <w:rFonts w:hint="eastAsia" w:ascii="仿宋_GB2312" w:hAnsi="宋体" w:eastAsia="仿宋_GB2312" w:cs="仿宋_GB2312"/>
                <w:i w:val="0"/>
                <w:iCs w:val="0"/>
                <w:color w:val="auto"/>
                <w:kern w:val="0"/>
                <w:sz w:val="24"/>
                <w:szCs w:val="24"/>
                <w:u w:val="none"/>
                <w:lang w:val="en-US" w:eastAsia="zh-CN" w:bidi="ar"/>
              </w:rPr>
              <w:br w:type="textWrapping"/>
            </w:r>
            <w:r>
              <w:rPr>
                <w:rFonts w:hint="eastAsia" w:ascii="仿宋_GB2312" w:hAnsi="宋体" w:eastAsia="仿宋_GB2312" w:cs="仿宋_GB2312"/>
                <w:i w:val="0"/>
                <w:iCs w:val="0"/>
                <w:color w:val="auto"/>
                <w:kern w:val="0"/>
                <w:sz w:val="24"/>
                <w:szCs w:val="24"/>
                <w:u w:val="none"/>
                <w:lang w:val="en-US" w:eastAsia="zh-CN" w:bidi="ar"/>
              </w:rPr>
              <w:t>2.医疗废物处理不符合规定，存在收集、打包、运送、交接、贮存、记录等不规范，每项扣3分；未签署医疗废弃物处理合同扣5分；</w:t>
            </w:r>
            <w:r>
              <w:rPr>
                <w:rFonts w:hint="eastAsia" w:ascii="仿宋_GB2312" w:hAnsi="宋体" w:eastAsia="仿宋_GB2312" w:cs="仿宋_GB2312"/>
                <w:i w:val="0"/>
                <w:iCs w:val="0"/>
                <w:color w:val="auto"/>
                <w:kern w:val="0"/>
                <w:sz w:val="24"/>
                <w:szCs w:val="24"/>
                <w:u w:val="none"/>
                <w:lang w:val="en-US" w:eastAsia="zh-CN" w:bidi="ar"/>
              </w:rPr>
              <w:br w:type="textWrapping"/>
            </w:r>
            <w:r>
              <w:rPr>
                <w:rFonts w:hint="eastAsia" w:ascii="仿宋_GB2312" w:hAnsi="宋体" w:eastAsia="仿宋_GB2312" w:cs="仿宋_GB2312"/>
                <w:i w:val="0"/>
                <w:iCs w:val="0"/>
                <w:color w:val="auto"/>
                <w:kern w:val="0"/>
                <w:sz w:val="24"/>
                <w:szCs w:val="24"/>
                <w:u w:val="none"/>
                <w:lang w:val="en-US" w:eastAsia="zh-CN" w:bidi="ar"/>
              </w:rPr>
              <w:t>3.医疗废弃物暂存站或（处）设置不符合要求，扣5分。</w:t>
            </w:r>
            <w:r>
              <w:rPr>
                <w:rFonts w:hint="eastAsia" w:ascii="仿宋_GB2312" w:hAnsi="宋体" w:eastAsia="仿宋_GB2312" w:cs="仿宋_GB2312"/>
                <w:i w:val="0"/>
                <w:iCs w:val="0"/>
                <w:color w:val="auto"/>
                <w:kern w:val="0"/>
                <w:sz w:val="24"/>
                <w:szCs w:val="24"/>
                <w:u w:val="none"/>
                <w:lang w:val="en-US" w:eastAsia="zh-CN" w:bidi="ar"/>
              </w:rPr>
              <w:br w:type="textWrapping"/>
            </w:r>
            <w:r>
              <w:rPr>
                <w:rFonts w:hint="eastAsia" w:ascii="仿宋_GB2312" w:hAnsi="宋体" w:eastAsia="仿宋_GB2312" w:cs="仿宋_GB2312"/>
                <w:i w:val="0"/>
                <w:iCs w:val="0"/>
                <w:color w:val="auto"/>
                <w:kern w:val="0"/>
                <w:sz w:val="24"/>
                <w:szCs w:val="24"/>
                <w:u w:val="none"/>
                <w:lang w:val="en-US" w:eastAsia="zh-CN" w:bidi="ar"/>
              </w:rPr>
              <w:t>4.污水排放不符合规定的，扣5分；未提供环保部定期出具的污水监测合格报告，扣5分；污水监测资料不完整，一处扣2分。扣完为止。</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475"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三、临床科室（200分）</w:t>
            </w:r>
          </w:p>
        </w:tc>
        <w:tc>
          <w:tcPr>
            <w:tcW w:w="411"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（一）人员结构（35分）</w:t>
            </w:r>
          </w:p>
        </w:tc>
        <w:tc>
          <w:tcPr>
            <w:tcW w:w="121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1.临床科室负责人（口腔科、麻醉科、产科、心外科、神经外科除外）应具备副高级以上专业技术职务任职资格、从事相关专业工作5年以上的中医类别执业医师。</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抽查5个科室负责人资质证明</w:t>
            </w:r>
          </w:p>
        </w:tc>
        <w:tc>
          <w:tcPr>
            <w:tcW w:w="2016"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科室负责人符合资质要求的，得10分，否则一人不符扣2分，扣完为止</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47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left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2.临床科室医师中中医类别执业医师占执业医师总数比例是否≥60％。</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抽查3个临床科室人员资质</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抽查科室中医类别执业医师占本科室比例≥60%的，得10分，否则一个科室不符扣3分，扣完为止</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0" w:hRule="atLeast"/>
        </w:trPr>
        <w:tc>
          <w:tcPr>
            <w:tcW w:w="47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3.科室医务人员均应接受过中医专门训练，掌握中医学和专科的基本理论、基础知识和基本操作技能。</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抽查5个科室培训记录</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科室医务人员接受过中医训练的，得15分；否则一个科室不符的扣3分，扣完为止</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0" w:hRule="atLeast"/>
        </w:trPr>
        <w:tc>
          <w:tcPr>
            <w:tcW w:w="47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（二）诊疗技术（65分）</w:t>
            </w:r>
          </w:p>
        </w:tc>
        <w:tc>
          <w:tcPr>
            <w:tcW w:w="121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制订病种诊疗常规、操作规程，建立、实施、评估和改进流程。技术应用符合医院感染控制、医疗质量控制规范，定期考核、评估。对于科室长期应用、疗效显著的中医医疗技术及时进行总结完善，并加以推广。</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抽查5个科室诊疗常规、操作规程、技术目录、应用推广记录等</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科室有诊疗常规、操作规程、技术目录、应用推广记录的，得10分；否则按以下情形扣分：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①材料缺一项扣1分/科，扣完为止；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②无相关材料扣2分/科，扣完为止。</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0" w:hRule="atLeast"/>
        </w:trPr>
        <w:tc>
          <w:tcPr>
            <w:tcW w:w="47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2.制定中医诊疗技术规范、操作规程，探索中医新技术、新方法，总结简便易行、安全有效的诊疗技术。</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抽查5个科室中医诊疗新技术目录及审批档案资料、技术规范、操作规程</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科室制定有中医诊疗技术规范、操作规程的，得5分，否则按以下情形扣分：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①缺一项扣1分/科，扣完为止；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②无相关材料扣2分/科，扣完为止。</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0" w:hRule="atLeast"/>
        </w:trPr>
        <w:tc>
          <w:tcPr>
            <w:tcW w:w="475" w:type="pct"/>
            <w:vMerge w:val="restart"/>
            <w:tcBorders>
              <w:top w:val="single" w:color="000000" w:sz="4" w:space="0"/>
              <w:left w:val="single" w:color="000000" w:sz="4" w:space="0"/>
              <w:bottom w:val="single" w:color="auto"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三、临床科室（200分）</w:t>
            </w:r>
          </w:p>
        </w:tc>
        <w:tc>
          <w:tcPr>
            <w:tcW w:w="411"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（二）诊疗技术（65分）</w:t>
            </w:r>
          </w:p>
        </w:tc>
        <w:tc>
          <w:tcPr>
            <w:tcW w:w="121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3.严格执行《中医病历书写基本规范》和《中医电子病历基本规范（试行）》，中药处方格式及书写符合相关规定。</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随机抽取5个临床科室病案10份，中药处方30张。</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病历书写、中药处方开具符合相关规定无误的，得20分，否则按以下情形扣分：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①病历书写不符合书写规范一例扣2分，扣完为止；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②处方书写不规范一例扣0.5分，扣完为止。</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18" w:hRule="atLeast"/>
        </w:trPr>
        <w:tc>
          <w:tcPr>
            <w:tcW w:w="475" w:type="pct"/>
            <w:vMerge w:val="continue"/>
            <w:tcBorders>
              <w:top w:val="single" w:color="auto" w:sz="4" w:space="0"/>
              <w:left w:val="single" w:color="000000" w:sz="4" w:space="0"/>
              <w:bottom w:val="single" w:color="auto"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411"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4.充分发挥中医手段在疾病诊疗过程中的优势，开展中医特色诊疗。有一定数量的医疗机构中药制剂并积极使用；门诊处方中，中药（饮片、中成药、医院制剂）处方比例≥60%；中药饮片处方占门诊处方总数的比例≥30%；门诊患者使用中医非药物疗法比例≥10%；出院患者使用中医非药物疗法比例≥60%；以中医为主治疗的出院患者比例≥20%。</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查看上年度绩效考核填报系统数据、上一年度医院处方、医疗机构制剂备案名录、医院门诊分科统计表等</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①门诊处方中，中药（饮片、中成药、医院制剂）处方比例：≥60%，得5分；30-60%，得3分；≤30%，得0分。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②中药饮片处方占门诊处方总数的比例≥30%，得5分；15-30%，得3分；≤15%，得0分。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③门诊患者使用中医非药物疗法比例≥10%，得5分；5-10%，得3分，≤5%，得0分。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④出院患者使用中医非药物疗法比例：≥60%，得5分；50-60%，得3分；≤40%，得0分。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⑤以中医为主治疗的出院患者比例：≥20%，得5分；15-20%，得3分；≤15%，得0分。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⑥每个中医医疗机构院内制剂≥5种，得5分，每少一种扣1分，扣完为止。</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81" w:hRule="atLeast"/>
        </w:trPr>
        <w:tc>
          <w:tcPr>
            <w:tcW w:w="475" w:type="pct"/>
            <w:vMerge w:val="continue"/>
            <w:tcBorders>
              <w:top w:val="single" w:color="auto" w:sz="4" w:space="0"/>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（三）服务能力（10分）</w:t>
            </w:r>
          </w:p>
        </w:tc>
        <w:tc>
          <w:tcPr>
            <w:tcW w:w="121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制定有各科室相适应的中医优势病种诊疗方案、护理常规、技术操作规范并定期优化；按规范要求开展医疗护理工作。</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抽查5个科室的优势病种材料，</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制定有中医优势病种诊疗方案、护理常规、技术操作规范的，得10分，否则按以下情形扣分：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①材料不全扣1分/科，</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②无材料扣2分/科</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60" w:hRule="atLeast"/>
        </w:trPr>
        <w:tc>
          <w:tcPr>
            <w:tcW w:w="475" w:type="pct"/>
            <w:vMerge w:val="restart"/>
            <w:tcBorders>
              <w:top w:val="single" w:color="auto" w:sz="4" w:space="0"/>
              <w:left w:val="single" w:color="000000" w:sz="4" w:space="0"/>
              <w:bottom w:val="single" w:color="auto"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三、临床科室（200分）</w:t>
            </w:r>
          </w:p>
        </w:tc>
        <w:tc>
          <w:tcPr>
            <w:tcW w:w="411"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（四）医疗质量（45分）</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1.严格执行确保医疗质量和医疗安全的核心制度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 xml:space="preserve">（1）首诊负责制             </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（2）三级医师查房制度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（3）疑难病例讨论制度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（4）会诊制度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（5）急危重患者抢救制度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（6）手术分级管理制度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（7）术前讨论制度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（8）死亡病例讨论制度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（9）值班和交接班制度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（10）查对制度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（11）病历管理制度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（12）临床用血审核制度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（13）分级护理制度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（14）手术安全核查制度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（15）新技术和新项目准入制度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（16）危急值报告制度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（17）抗菌药物分级管理制度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（18）信息安全管理制度</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抽查5个科室病历及病区记录本（疑难病例讨论、死亡病例讨论、交接登记、危重病人抢救登记、会诊登记、危急值登记本）；现场检查核心制度执行状况；抽查2位医务人员了解其对核心制度的知晓度和执行力。</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核心制度落实到位，科室记录本记录完整、医务人员对医疗核心制度掌握的，得20分，否则按以下情形扣分：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①落实不到位扣2分/科，每发现1项制度不落实扣4分，扣完为止；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②医务人员对核心制度掌握程度，不熟悉扣0.5分/人，不知晓扣1分/人。</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0" w:hRule="atLeast"/>
        </w:trPr>
        <w:tc>
          <w:tcPr>
            <w:tcW w:w="475" w:type="pct"/>
            <w:vMerge w:val="continue"/>
            <w:tcBorders>
              <w:top w:val="single" w:color="auto" w:sz="4" w:space="0"/>
              <w:left w:val="single" w:color="000000" w:sz="4" w:space="0"/>
              <w:bottom w:val="single" w:color="auto"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411"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2.实施院科两级质量管理，院科二级质控组织健全、职责明确、运行记录完善，医院领导参加医疗质量管理。工作制度健全、工作记录规范可信。</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查阅院科二级资料，要求院科二级质控组织人员落实、责任明确、质控工作记录规范可信</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查看院级科级质量管理制度、工作记录，制度、工作记录完整的，得10分，否则按以下情形扣分：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①无制度或记录扣2分，无材料扣5分；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②抽查2个科室质量管理材料，材料不全扣1分/科，无材料扣2.5分/科</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66" w:hRule="atLeast"/>
        </w:trPr>
        <w:tc>
          <w:tcPr>
            <w:tcW w:w="475" w:type="pct"/>
            <w:vMerge w:val="restart"/>
            <w:tcBorders>
              <w:top w:val="single" w:color="auto"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三、临床科室（200分）</w:t>
            </w:r>
          </w:p>
        </w:tc>
        <w:tc>
          <w:tcPr>
            <w:tcW w:w="411"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（四）医疗质量（45分）</w:t>
            </w:r>
          </w:p>
        </w:tc>
        <w:tc>
          <w:tcPr>
            <w:tcW w:w="121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3.加强不良事件管理，有制度流程，有定期总结，分析，对一二级不良事件及频发的三四级不良事件开展根因分析，对突发公共卫生事件（含放射事件，传染病疫情）要及时有效处理。</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查阅相关制度流程及总结分析记录。</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有不良事件管理制度并制定流程、定期总结、分析原因、及时上报的，得15分，否则按以下情形扣分：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①无制度流程扣5分；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②无定期总结分析扣5分；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③有重大不良事件及突发公共卫生事件瞒报情况不得分。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33" w:hRule="atLeast"/>
        </w:trPr>
        <w:tc>
          <w:tcPr>
            <w:tcW w:w="475" w:type="pct"/>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（五）三基</w:t>
            </w:r>
          </w:p>
        </w:tc>
        <w:tc>
          <w:tcPr>
            <w:tcW w:w="121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掌握中医基础理论、基本知识与基本技能，对本科常见病、多发病、疑难病和急危重症中医诊断与鉴别诊断准确。</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随机抽取3名医师考核合格</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医师对知识掌握情况良好，得15分；否则按以下情形扣分：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①掌握不全扣2分/人；</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②不了解扣5分/人</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34" w:hRule="atLeast"/>
        </w:trPr>
        <w:tc>
          <w:tcPr>
            <w:tcW w:w="475" w:type="pct"/>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（六）手术</w:t>
            </w:r>
          </w:p>
        </w:tc>
        <w:tc>
          <w:tcPr>
            <w:tcW w:w="121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实行手术医师资格准入制度和手术分级授权管理制度，建立定期手术医师资格和能力评价与再授权的机制。建立手术安全核查、风险评估制度与工作流程。</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w:t>
            </w:r>
          </w:p>
        </w:tc>
        <w:tc>
          <w:tcPr>
            <w:tcW w:w="2016"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抽查3项限制类技术手术备案情况，备案与手术分级相符得15分，否则扣5分/人，违背伦理或者伦理论证不合格开展的手术扣5分/例，开展禁止类手术不得分。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61" w:hRule="atLeast"/>
        </w:trPr>
        <w:tc>
          <w:tcPr>
            <w:tcW w:w="475" w:type="pct"/>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（七）麻醉</w:t>
            </w:r>
          </w:p>
        </w:tc>
        <w:tc>
          <w:tcPr>
            <w:tcW w:w="121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制定麻醉医师资格分级授权管理制度与规范，及定期能力评价与再授权的机制，麻醉人员配备合理。</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w:t>
            </w:r>
          </w:p>
        </w:tc>
        <w:tc>
          <w:tcPr>
            <w:tcW w:w="2016"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抽查3名麻醉医师授权材料，符合要求的得15分，否则扣5分/人</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475"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四、药事管理（80分）</w:t>
            </w: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（一）医院药事管理组织</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是否定期对临床使用中药进行监督、评价和指导，合理遴选医疗机构内使用的中药。</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查阅评审周期相关资料，实地考察。</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有药事管理组织并对临床使用中药进行监督、评价和指导，得5分，否则不得分。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3" w:hRule="atLeast"/>
        </w:trPr>
        <w:tc>
          <w:tcPr>
            <w:tcW w:w="47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（二）药房设置（26分）</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1.设有中药饮片库房、中药饮片调剂室、中成药库房、中成药调剂室、中药煎药室。</w:t>
            </w:r>
          </w:p>
        </w:tc>
        <w:tc>
          <w:tcPr>
            <w:tcW w:w="632"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查阅相关资料，实地考察。</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药房设置齐全，得6分，否则每少1个部门（组），扣1分。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6" w:hRule="atLeast"/>
        </w:trPr>
        <w:tc>
          <w:tcPr>
            <w:tcW w:w="475" w:type="pct"/>
            <w:vMerge w:val="continue"/>
            <w:tcBorders>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411" w:type="pct"/>
            <w:vMerge w:val="continue"/>
            <w:tcBorders>
              <w:left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2.中药房应当远离各种污染源，中药饮片调剂室、中成药调剂室、中药煎药室应配备有效的通风、除尘、防积水以及消防等设施。</w:t>
            </w:r>
          </w:p>
        </w:tc>
        <w:tc>
          <w:tcPr>
            <w:tcW w:w="632"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both"/>
              <w:rPr>
                <w:rFonts w:hint="eastAsia" w:ascii="仿宋_GB2312" w:hAnsi="仿宋_GB2312" w:eastAsia="仿宋_GB2312" w:cs="仿宋_GB2312"/>
                <w:i w:val="0"/>
                <w:iCs w:val="0"/>
                <w:color w:val="auto"/>
                <w:sz w:val="24"/>
                <w:szCs w:val="24"/>
                <w:u w:val="none"/>
              </w:rPr>
            </w:pP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药房设置符合规范的，得4分，否则按以下情形扣分：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①中药房距各种污染源较近，扣1分；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②缺少有效的通风、除尘、防积水、消防设施，每少一种扣1分，扣完为止。</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9" w:hRule="atLeast"/>
        </w:trPr>
        <w:tc>
          <w:tcPr>
            <w:tcW w:w="47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left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3.中药饮片调剂室面积≥100平方米；中成药调剂室面积≥60平方米。中成药调剂室、中药饮片调剂室面积应当与医院的规模和业务需求相适应。</w:t>
            </w:r>
          </w:p>
        </w:tc>
        <w:tc>
          <w:tcPr>
            <w:tcW w:w="632"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both"/>
              <w:rPr>
                <w:rFonts w:hint="eastAsia" w:ascii="仿宋_GB2312" w:hAnsi="仿宋_GB2312" w:eastAsia="仿宋_GB2312" w:cs="仿宋_GB2312"/>
                <w:i w:val="0"/>
                <w:iCs w:val="0"/>
                <w:color w:val="auto"/>
                <w:sz w:val="24"/>
                <w:szCs w:val="24"/>
                <w:u w:val="none"/>
              </w:rPr>
            </w:pP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各房屋面积符合要求的，得6分，否则按以下情形扣分，扣完为止：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①中药饮片调剂室面积&lt;100平方米，扣1分；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②中成药调剂室面积&lt;60平方米，扣1分；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③中成药、中药饮片调剂室面积与医院的规模和业务需求不相适应，每项扣1分。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475" w:type="pct"/>
            <w:vMerge w:val="continue"/>
            <w:tcBorders>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411" w:type="pct"/>
            <w:vMerge w:val="continue"/>
            <w:tcBorders>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4.中药房的设备（器具）应当与医院的规模和业务需求相适应。</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查阅相关资料，实地考察。</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设备（器具）与医院的规模和业务需求相适应，得2分，否则不得分。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47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left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5.中药房主任或副主任中，应当有副主任中药师以上专业技术职务任职资格的人员。</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查阅中药房人事档案及相关证明文件</w:t>
            </w:r>
          </w:p>
        </w:tc>
        <w:tc>
          <w:tcPr>
            <w:tcW w:w="2016"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中药房主任或副主任中，有副主任中药师以上专业技术职务任职资格的，得2分，不符合要求不得分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475" w:type="pct"/>
            <w:vMerge w:val="continue"/>
            <w:tcBorders>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6.中药专业技术人员占药学专业技术人员比例至少达到60%。</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查阅相关资料，并实地考察。</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中药专业技术人员占药学专业技术人员比例≥60%的，得1分，否则按以下情形扣分：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①占比30%—60%扣0.5分；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②少于30%扣1分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55" w:hRule="atLeast"/>
        </w:trPr>
        <w:tc>
          <w:tcPr>
            <w:tcW w:w="475" w:type="pct"/>
            <w:vMerge w:val="restart"/>
            <w:tcBorders>
              <w:top w:val="single" w:color="auto" w:sz="4" w:space="0"/>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四、药事管理（80分）</w:t>
            </w:r>
          </w:p>
        </w:tc>
        <w:tc>
          <w:tcPr>
            <w:tcW w:w="411"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（三）药房管理（49分）</w:t>
            </w:r>
          </w:p>
        </w:tc>
        <w:tc>
          <w:tcPr>
            <w:tcW w:w="1210"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7.中药饮片质量验收负责人应为具有中药学中级及以上专业技术职务任职资格和中药饮片鉴别经验的人员或具有丰富中药饮片鉴别经验的老药工。中药饮片调剂复核人员应具有主管中药师及以上专业技术职务任职资格（小包装饮片的复核人员应具有中药师及以上专业技术职务任职资格）。煎药室负责人应具有中药师及以上专业技术职务任职资格，煎药人员应为中药学专业人员或经广西中药药事质控中心培训取得相应资格的人员。</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查阅评审周期的人事档案及相关证明资料。</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各相应人员符合规范的，得5分，否则按以下情形扣分：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①中药饮片质量验收负责人不符合要求，扣1分；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②中药饮片调剂复核人员不符合要求，扣1分；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③煎药室负责人应具不符合要求，扣1分；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④煎药人员不符合要求的，扣1分/人，扣完为止。</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4" w:hRule="atLeast"/>
        </w:trPr>
        <w:tc>
          <w:tcPr>
            <w:tcW w:w="475" w:type="pct"/>
            <w:vMerge w:val="continue"/>
            <w:tcBorders>
              <w:top w:val="nil"/>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1.建立中药饮片采购制度，采购程序符合相关规定，供应商资质齐全并对其定期评估。</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spacing w:val="-6"/>
                <w:kern w:val="0"/>
                <w:sz w:val="24"/>
                <w:szCs w:val="24"/>
                <w:u w:val="none"/>
                <w:lang w:val="en-US" w:eastAsia="zh-CN" w:bidi="ar"/>
              </w:rPr>
              <w:t>查阅相关资料（如中药饮片采购制度、采购计划、供应商资质档案、评估记录等），实地考察。</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有中药饮片采购制度，采购程序符合规定，供应商资质齐全并定期评估的，得10分，否则按以下情形扣分：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①无中药采购制度或供应商资质不符合要求，或有伪药及明令禁止购销的产品，不得分；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②采购制度不完善，扣2分；每发现1种劣药，扣1分，扣完为止；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③对供应商评估记录不完整，扣3分。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9" w:hRule="atLeast"/>
        </w:trPr>
        <w:tc>
          <w:tcPr>
            <w:tcW w:w="475" w:type="pct"/>
            <w:vMerge w:val="continue"/>
            <w:tcBorders>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2.中药饮片验收管理制度健全并落实到位，记录完整。</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spacing w:val="-6"/>
                <w:kern w:val="0"/>
                <w:sz w:val="24"/>
                <w:szCs w:val="24"/>
                <w:u w:val="none"/>
                <w:lang w:val="en-US" w:eastAsia="zh-CN" w:bidi="ar"/>
              </w:rPr>
              <w:t>查阅中药饮片验收管理资料及评审周期的进货质量验收记录或入库清单。</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重要饮片验收管理制度健全且记录完整的，得5分，否则按以下情形扣分：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①无制度或无记录，不得分；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②制度不完善，扣1分；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③记录不完整，扣1分。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9" w:hRule="atLeast"/>
        </w:trPr>
        <w:tc>
          <w:tcPr>
            <w:tcW w:w="475" w:type="pct"/>
            <w:vMerge w:val="restart"/>
            <w:tcBorders>
              <w:top w:val="single" w:color="auto"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四、药事管理（80分）</w:t>
            </w:r>
          </w:p>
        </w:tc>
        <w:tc>
          <w:tcPr>
            <w:tcW w:w="411"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（三）药房管理（49分）</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3.中药储存管理规范，有保证质量的管理制度和设施条件，做到定期养护。</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查阅相关资料，并实地考察。</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中药储存符合规范、有管理制度、设施条件符合规范、定期养护的，得5分，否则按以下情形扣分：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①中药饮片有变质、霉变、生虫、串药等现象或无储存管理规范、制度，不得分；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②设施条件不完善，扣1分；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③养护记录不完整，扣1分。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0" w:hRule="atLeast"/>
        </w:trPr>
        <w:tc>
          <w:tcPr>
            <w:tcW w:w="475" w:type="pct"/>
            <w:vMerge w:val="continue"/>
            <w:tcBorders>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411" w:type="pct"/>
            <w:vMerge w:val="continue"/>
            <w:tcBorders>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4.毒性中药、按麻醉药品管理的中药管理符合国家的相关法律法规。</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查阅相关资料，实地考察，并抽查10张毒性中药饮片、按麻醉药品管理的中药饮片处方。</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毒性中药、按麻醉药品管理的中药管理符合规定的，得5分，否则按以下情况扣分：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①无毒性中药饮片，不得分；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②未按规定实行双人双锁管理，扣1分；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③账物不符，扣1分；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④含毒性中药饮片、按麻醉药品管理的中药饮片处方调剂不符合规定，每张扣0.2分。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47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left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5.建立中药饮片处方调剂制度和操作规范，严格处方的审核和调剂复核，调剂复核率100%，每剂重量误差应在±5%以内。严格执行中药饮片处方用名和调剂给付有关规定。</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查阅相关资料，实地考察，并抽查1日中药饮片处方和调剂后的中药饮片处方20剂。</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有中药饮片调剂制度和操作规范，操作符合规定的，得4分，否则按以下情形扣分：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①无饮片调剂制度和操作规范，不得分；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②未按规定审核或无复核签字，每张处方扣0.5分（最多扣3分）；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③重量误差不符合要求，每剂扣0.5分（最多扣2分）。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7" w:hRule="atLeast"/>
        </w:trPr>
        <w:tc>
          <w:tcPr>
            <w:tcW w:w="47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6.中药制剂的配制管理规范，委托加工的制剂须经相应部门批准，按照相关的规定执行。</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查阅相关资料，并实地考察。</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有中药制剂的配置管理规范，各项操作符合规定的，得4分，否则按以下情形扣分：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①无制剂配制记录或未经批准委托加工或委托加工批件不符合规定，不得分；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②配制记录不完善，扣1分。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35" w:hRule="atLeast"/>
        </w:trPr>
        <w:tc>
          <w:tcPr>
            <w:tcW w:w="475" w:type="pct"/>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四、药事管理（80分）</w:t>
            </w:r>
          </w:p>
        </w:tc>
        <w:tc>
          <w:tcPr>
            <w:tcW w:w="411"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（三）药房管理（49分）</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7.7.建立中药安全性监测管理制度和中药不良反应事件报告制度，按规定报告中药不良反应。</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查阅评审周期内相关资料，随机抽查3份归档病历。</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有中药安全性监测管理制度和中药不良反应事件报告制度，按规定报告中药不良反应的，得6分，否则按以下情形扣分：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①无制度，或无中药不良反应报告记录，不得分；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②未按照规定上报不良反应，每例扣2分，扣完为止。</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35" w:hRule="atLeast"/>
        </w:trPr>
        <w:tc>
          <w:tcPr>
            <w:tcW w:w="475" w:type="pct"/>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8.定期开展中药处方评价工作，规范处方（用药医嘱）开具、审核、调配、核发、用药指导等行为。</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查阅评审周期相关资料，并实地核查。随机抽查某日中药饮片处方30张、住院病历5份。</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定期开展中药处方评价工作，规范处方（用药医嘱）开具、审核、调配、核发、用药指导等行为的，得10分，否则按以下情形扣分：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①未制定中药饮片处方点评工作制度，扣1分；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②无点评记录，扣1分；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③记录不完整，扣0.5分。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④门急诊中药饮片处方的抽查率&lt;中药饮片总处方量的0.5％，或每月点评处方绝对数&lt;100张，扣1分；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⑤病房（区）中药饮片处方抽查率（按出院病历数计）&lt;5%，或每月点评出院病历绝对数&lt;30份，扣1分；核查结果不符合，扣0.5分。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⑥抽查处方50份：中药饮片处方（医嘱）内容不规范，扣0.5分；药名书写不正确，每张扣0.5分；脚注不明确或没有书写，每张扣0.5分；双签字要求落实不到位，每张扣0.5分。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⑦处方点评结果未公示，扣1分；未纳入绩效考核，扣1分；干预和改进措施不到位，扣1分。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6" w:hRule="atLeast"/>
        </w:trPr>
        <w:tc>
          <w:tcPr>
            <w:tcW w:w="475" w:type="pct"/>
            <w:vMerge w:val="restart"/>
            <w:tcBorders>
              <w:top w:val="nil"/>
              <w:left w:val="single" w:color="000000" w:sz="4" w:space="0"/>
              <w:bottom w:val="single" w:color="auto"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highlight w:val="yellow"/>
                <w:u w:val="none"/>
              </w:rPr>
            </w:pPr>
            <w:r>
              <w:rPr>
                <w:rFonts w:hint="eastAsia" w:ascii="仿宋_GB2312" w:hAnsi="仿宋_GB2312" w:eastAsia="仿宋_GB2312" w:cs="仿宋_GB2312"/>
                <w:i w:val="0"/>
                <w:iCs w:val="0"/>
                <w:color w:val="auto"/>
                <w:kern w:val="0"/>
                <w:sz w:val="24"/>
                <w:szCs w:val="24"/>
                <w:highlight w:val="none"/>
                <w:u w:val="none"/>
                <w:lang w:val="en-US" w:eastAsia="zh-CN" w:bidi="ar"/>
              </w:rPr>
              <w:t>五、护理80分</w:t>
            </w:r>
          </w:p>
        </w:tc>
        <w:tc>
          <w:tcPr>
            <w:tcW w:w="411"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（一）护理管理组织。</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1.严格执行《护士条例》，参照《中医医院中医护理工作指南（试行）》实施护理管理，医院年度工作计划中有相应的措施。</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查看医院本年度工作计划、实施工作记录等</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医院年度工作计划中有中医护理工作的计划与具体措施，并落实，得5分，否则不得分。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475" w:type="pct"/>
            <w:vMerge w:val="continue"/>
            <w:tcBorders>
              <w:top w:val="single" w:color="auto" w:sz="4" w:space="0"/>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2.健全护理工作制度，护理安全管理制度、岗位职责，组织制定完善中医护理常规和中西医技术操作规程，并组织实施和考核</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工作制度、岗位职责、操作规程制度、考评资料</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60" w:lineRule="exact"/>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有护理工作制度、护理安全管理制度、岗位职责、护理常规、操作规程等，并保证实施的，得5分，否则按以下情形扣分：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①未依据法律法规、行业指南、标准制定护理制度、常规和操作规程，不得分；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②未开展培训，扣2分；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③培训记录不全面，扣1分。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7" w:hRule="atLeast"/>
        </w:trPr>
        <w:tc>
          <w:tcPr>
            <w:tcW w:w="475" w:type="pct"/>
            <w:vMerge w:val="continue"/>
            <w:tcBorders>
              <w:top w:val="single" w:color="auto" w:sz="4" w:space="0"/>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w:t>
            </w:r>
            <w:r>
              <w:rPr>
                <w:rFonts w:hint="eastAsia" w:ascii="仿宋_GB2312" w:hAnsi="仿宋_GB2312" w:eastAsia="仿宋_GB2312" w:cs="仿宋_GB2312"/>
                <w:i w:val="0"/>
                <w:iCs w:val="0"/>
                <w:color w:val="auto"/>
                <w:spacing w:val="-6"/>
                <w:kern w:val="0"/>
                <w:sz w:val="24"/>
                <w:szCs w:val="24"/>
                <w:u w:val="none"/>
                <w:lang w:val="en-US" w:eastAsia="zh-CN" w:bidi="ar"/>
              </w:rPr>
              <w:t>.设立护理质量管理委员会实施护理质量管理工作。制定护理质量标准，定期指导、检查、考核和评价中医特色护理质量，制定质量管理与持续改进方案，制定关键环节与重点部门管理标准与措施。</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相关文件、工作记录</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设立护理质量管理委员会并开展工作，定期开展中医特色护理质量评价工作的，得5分，否则按以下情形扣分：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①未建立委员会，不得分；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②相关记录未体现质量评价工作，扣1分。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7" w:hRule="atLeast"/>
        </w:trPr>
        <w:tc>
          <w:tcPr>
            <w:tcW w:w="475" w:type="pct"/>
            <w:vMerge w:val="continue"/>
            <w:tcBorders>
              <w:top w:val="single" w:color="auto" w:sz="4" w:space="0"/>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4.制定并落实分级护理岗位职责，实施护理人员分级管理，护理人员知晓本岗位的职责要求。</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管理文件、考评资料</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制定并落实分级护理岗位职责，实施护理人员分级管理，护理人员知晓本岗位的职责要求的，得5分，否则按以下情形扣分：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①未实施分级管理，或无岗位职责，不得分；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②护士不知晓本岗位职责，每人扣1分，扣完为止。</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7" w:hRule="atLeast"/>
        </w:trPr>
        <w:tc>
          <w:tcPr>
            <w:tcW w:w="475" w:type="pct"/>
            <w:vMerge w:val="continue"/>
            <w:tcBorders>
              <w:top w:val="single" w:color="auto" w:sz="4" w:space="0"/>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（二）护理人力资源管理。</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1.制定并实施有各级各类护士的在职培训计划，体现不同层次人员的培训内容与学时要求，定期考核，措施到位，护士的中医药基础知识与技能满足岗位需要。</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近三年培训计划及实施记录、培训学习材料证明、评价资料</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制定并实施有各级各类护士的在职培训计划，护士的中医药基础知识与技能满足岗位需要的，得5分，否则按以下情形扣分：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①无培训计划不得分；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②未按计划进行培训扣2分/年，扣完为止</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7" w:hRule="atLeast"/>
        </w:trPr>
        <w:tc>
          <w:tcPr>
            <w:tcW w:w="475" w:type="pct"/>
            <w:vMerge w:val="restart"/>
            <w:tcBorders>
              <w:top w:val="single" w:color="auto" w:sz="4" w:space="0"/>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highlight w:val="none"/>
                <w:u w:val="none"/>
                <w:lang w:val="en-US" w:eastAsia="zh-CN" w:bidi="ar"/>
              </w:rPr>
              <w:t>五、护理80分</w:t>
            </w:r>
          </w:p>
        </w:tc>
        <w:tc>
          <w:tcPr>
            <w:tcW w:w="411" w:type="pct"/>
            <w:vMerge w:val="restar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（二）护理人力资源管理。</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2.编制专科收治疾病中医护理常规或中医护理方案、中医护理技术操作规程。</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查看相关文件资料</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编制专科收治疾病中医护理常规或中医护理方案、中医护理技术操作规程的，得5分，否则不得分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70" w:hRule="atLeast"/>
        </w:trPr>
        <w:tc>
          <w:tcPr>
            <w:tcW w:w="475" w:type="pct"/>
            <w:vMerge w:val="continue"/>
            <w:tcBorders>
              <w:top w:val="single" w:color="auto" w:sz="4" w:space="0"/>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3.护士掌握4项常见病的中医护理常规和护理基本操作，能够提供具有中医药特色的康复和健康指导。每个科室结合自身特点，开展2项以上中医特色护理。</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现场抽查3名护理人员</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每个科室结合自身特点，开展4项以上中医特色护理且护士掌握情况良好的，得15分，否则按以下情形扣分：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①未开展中医特色护理技术，不得分；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②护理人员对本科室的基本操作不熟悉扣3分/人</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0" w:hRule="atLeast"/>
        </w:trPr>
        <w:tc>
          <w:tcPr>
            <w:tcW w:w="475" w:type="pct"/>
            <w:vMerge w:val="continue"/>
            <w:tcBorders>
              <w:top w:val="single" w:color="auto" w:sz="4" w:space="0"/>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（三）护理组织实施管理。</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1.按照《病历书写基本规范（试行）》进行护理文件书写，有定期的质量评价。</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随机抽查3份病历</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护理文书书写符合规范的，得15分，否则按以下情形扣分，扣完为止：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 病历护理记录不规范每份扣3分；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②未体现质量评价每份扣3分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93" w:hRule="atLeast"/>
        </w:trPr>
        <w:tc>
          <w:tcPr>
            <w:tcW w:w="475" w:type="pct"/>
            <w:vMerge w:val="continue"/>
            <w:tcBorders>
              <w:top w:val="single" w:color="auto" w:sz="4" w:space="0"/>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2.建立质量可追溯的机制，定期与不定期对护理质量标准进行效果评价，并能体现在持续改进的过程中。</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相关文件、检查记录、现场考核</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建立质量可追溯的机制，定期与不定期对护理质量标准进行效果评价的，得10分，否则按以下情形扣分：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①未建立机制不得分；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②未定期进行效果评价每份扣5分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12" w:hRule="atLeast"/>
        </w:trPr>
        <w:tc>
          <w:tcPr>
            <w:tcW w:w="475" w:type="pct"/>
            <w:vMerge w:val="continue"/>
            <w:tcBorders>
              <w:top w:val="single" w:color="auto" w:sz="4" w:space="0"/>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3.能提供适宜的中医康复、健康护理指导。</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督查记录、现场检查</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能提供适宜的中医康复和健康指导的，得10分。未提供健康指导不得分；指导不能体现中医内容扣5分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20" w:hRule="atLeast"/>
        </w:trPr>
        <w:tc>
          <w:tcPr>
            <w:tcW w:w="475" w:type="pct"/>
            <w:vMerge w:val="restart"/>
            <w:tcBorders>
              <w:top w:val="single" w:color="auto"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highlight w:val="none"/>
                <w:u w:val="none"/>
                <w:lang w:val="en-US" w:eastAsia="zh-CN" w:bidi="ar"/>
              </w:rPr>
              <w:t>六、临床检验（40分）</w:t>
            </w: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（一）设置</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临床检验部门设置、布局、设备设施符合《医疗机构临床实验室管理办法》，临床检验项目满足临床需要，对本院临床诊疗临时需要，而不能提供的特殊检验项目，可委托其他三级甲等医院或具备资质的独立的检验机构提供服务或多院联合开展服务，但应签署医院之间的委托服务协议，有质量保证条款，能提供24小时急诊检验服务，明确急诊检验报告时间，临检项目≤30分钟出报告，生化、免疫项目≤2小时出报告。检验项目、设备、试剂及校准品管理符合现行法律法规及卫生行政部门标准的要求。</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查阅相关资料并实地考察。抽查临检、微生物、免疫、生化等专业项目，现场查看，抽查检验报告</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临床检验部门设置符合规范、服务能力符合要求的，得10分，否则按以下情况扣分，扣完为止：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①实验室设置必须符合生物安全规范，满足且完成生物安全Ⅱ级防护实验室备案。有显著缺陷扣0.5分，未备案扣10分；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②实验室未集中设置、统一管理扣1分；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③临床检验项目不能满足临床需要，扣1分；通过委托第三方检验机构来满足临床需求的，委托服务不符合要求，扣0.5分；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④每年未为临床推出新项目（至少1项），扣0.5分：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⑤微生物室未定期为临床提供耐药菌的药物敏感性报告，扣0.5分；未定期（至少半年一次）公布常见分离细菌株及其药敏情况，扣0.5分；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⑥微生物检验项目对院感控制及合理用药不能提供充分支持，扣0.5分。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⑦不能提供24小时急诊检验服务，扣1分；检验报告时间不符合要求，每项扣0.5分。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⑧检验项目不符合卫生行政部门准入范围，检验设备、试剂三证不齐全或不在有效期内，或校准品不符合法规规定的标准，或常规项目未进行恰当的方法学验证，扣1分。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475" w:type="pct"/>
            <w:vMerge w:val="restart"/>
            <w:tcBorders>
              <w:top w:val="single" w:color="000000" w:sz="4" w:space="0"/>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highlight w:val="none"/>
                <w:u w:val="none"/>
                <w:lang w:val="en-US" w:eastAsia="zh-CN" w:bidi="ar"/>
              </w:rPr>
              <w:t>六、临床检验（40分）</w:t>
            </w: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（二）人员</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由具备临床检验专业资质的人员进行临床检验活动，解释检查结果。</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查阅相关资料，实地考察</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人员资质符合要求的，得4分，否则按以下情形扣分，扣完为止：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①资质不符合要求，每人扣0.2分；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②分子生物学实验室、HIV初筛实验室及签发HIV初筛报告检验人员无上岗证，每人扣0.1；</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③无具有相关资质的专业人员负责结果解释工作，扣0.5分。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47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（三）规章制度</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有实验室安全流程，制度及相应的标准操作流程，检查报告审核制度、质量与安全管理制度等。</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w:t>
            </w:r>
          </w:p>
        </w:tc>
        <w:tc>
          <w:tcPr>
            <w:tcW w:w="2016"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有实验室安全流程，制度及相应的标准操作流程，检查报告审核制度、质量与安全管理制度的，得4分，否则不得分。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40" w:hRule="atLeast"/>
        </w:trPr>
        <w:tc>
          <w:tcPr>
            <w:tcW w:w="47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（四）检验质量</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检验报告及时、准确、规范，严格审核制度。</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随机查阅检验报告，现场考核检验人员操作及报告准确度。抽查10份检验报告单（覆盖血液、体液、生化、免疫、微生物、分子等专业）。</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检验报告及时、准确、规范，严格审核制度的，得6分，否则按以下情形扣分：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①未采用量值溯源、校准验证、能力验证、室内质控和室间质评进行质控，扣2分；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②定量项目检测项目未采用量值溯源，扣2分；未进行校准验证，扣2分；（与1条重复）</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③未参加能力验证，或未开展室内质控及室间质评，扣2分；（与1条重复）</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④未按照检验结果报告时间（临检常规项目≤30分钟，生化、免疫常规项目≤1个工作日出报告，微生物常规项目≤4个工作日）出具报告，每份扣0.5分；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⑤报告格式不规范，每份扣0.2分；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⑥检验报告单未经审核并执行双签字（急诊除外），每份扣0.5分。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13" w:hRule="atLeast"/>
        </w:trPr>
        <w:tc>
          <w:tcPr>
            <w:tcW w:w="475" w:type="pc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highlight w:val="none"/>
                <w:u w:val="none"/>
                <w:lang w:val="en-US" w:eastAsia="zh-CN" w:bidi="ar"/>
              </w:rPr>
              <w:t>六、临床检验（40分）</w:t>
            </w: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（五）病理</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病理科设置、布局、设备设施符合病理科建设与管理指南的要求，服务项目满足临床诊疗需要。从事病理诊断工作和技术工作的人员资质符合病理科建设与管理指南要求，诊断质量符合相关规定。</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查阅相关资料，实地考察</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病理科建设符合要求、服务项目能满足诊疗需要、人员符合要求、诊断质量符合标准的，得6分，否则按以下情形扣分：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①不能满足医院功能和任务需求，不得分；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②服务项目不能满足临床需要，扣0.5分。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③设备配置不完备，不得分；布局不合理、不符合生物安全要求，每项扣0.5分。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④未签署委托服务协议，不得分；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⑤服务形式不明确，或无资质，或缺少质量保证条款，酌情扣分。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⑥人员配备不能满足工作需要，扣1分；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⑦相关人员不知晓本岗位职责，每人扣0.5分。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⑧科室负责人不符合，扣0.5分；报告医师不符合要求，每人扣0.2分；其他人员未经培训，每人扣0.1分；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⑨诊断或制片质量不符合相关规定，酌情扣分。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91" w:hRule="atLeast"/>
        </w:trPr>
        <w:tc>
          <w:tcPr>
            <w:tcW w:w="475" w:type="pct"/>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临床检验（40分）</w:t>
            </w: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（六）输血</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1.1 落实《中华人民共和国献血法》《医疗机构临床用血管理办法（试行）》和《临床输血技术规范》等有关法律和规范，制定输血管理制度，并落实。</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1.2 加强临床用血过程管理，严格掌握输血适应症，促进临床安全、合理、科学用血。</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1.3 开展对临床医师输血知识的教育与培训（每年至少一次），开展临床用血评价。</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1.4 执行输血前相关检测规定，输血前向患者及其近亲属告知输血的目的和风险，并签署“输血治疗知情同意书”。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1.5 制定临床用血前评估和用血后效果评价制度，严格掌握输血适应症，做到安全、有效、科学用血。</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1.6 积极开展血液保护相关技术，建立自体输血、围手术期血液保护等输血技术管理制度，并落实。</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查阅相关资料，实地考察，抽查5份运行或归档的输血病历。抽查1名医务人员。</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有相关输血管理制度并落实，临床用血符合相关管理规定的，得10分，否则按以下情形扣分：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①无相关制度和实施细则，扣1分，内容未涵盖全过程，扣0.2分；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②对医务人员未进行相关培训，扣1分；医务人员对输血的相关制度不熟悉，扣0.3分。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③无用血计划，扣0.2分；无分级管理制度，扣0.2分；未定期进行用血评价及公示，扣0.2分。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④未定期进行培训，扣1分；医院未将医师合理用血的评价结果用于个人业绩考核与用血权限的认定，扣0.3分。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⑤未进行血型及感染筛查（肝功能、乙肝五项、HCV、HIV、梅毒抗体）的相关检测，每份扣0.3分；未签署“输血治疗知情同意书”，每份扣0.3分。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⑥无输血适应症管理规定，不得分；无用血后效果评价管理要求及评价，不得分；医院无输血指征综合评估的指标，扣0.5分；医务人员输血适应症掌握不全面，扣0.5分。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⑦无自体输血、围手术期血液保护等输血技术管理制度，不得分；无相关设备，不得分；上年度未开展自体输血，扣0.5分。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20" w:hRule="atLeast"/>
        </w:trPr>
        <w:tc>
          <w:tcPr>
            <w:tcW w:w="475"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七、医学影像（30分）</w:t>
            </w: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（一）设置</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医学影像（普通放射、CT、MRl、超声、核素成像等）部门设置、布局、设备设施符合《放射诊疗管理规定》，通过医疗机构执业诊疗科目许可登记，取得《放射诊疗许可证》，服务满足临床需要。</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现场查看</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医学影像（部门设置、布局、设备设施符合《放射诊疗管理规定》，通过医疗机构执业诊疗科目许可登记，取得《放射诊疗许可证》，服务满足临床需要的，得5分，否则按以下情形扣分：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①未取得《放射诊疗许可证》，或《许可证》诊疗项目与诊疗服务不符合，不得分；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②X线影像、超声检查、CT不能提供24小时急诊（包括床边急诊）检查服务，每项扣1分。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93" w:hRule="atLeast"/>
        </w:trPr>
        <w:tc>
          <w:tcPr>
            <w:tcW w:w="47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（二）人员</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由具备医学影像专业资质的人员进行医学影像检查活动，出具检查报告人员应具备执业医师资质。</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工作人员资质符合相关规定的，得5分，否则按以下情形扣分：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①医师、技术人员和护士配备与影像科室服务规模和任务不相符，每类扣1分；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②科室负责人不具备副主任医师以上专业技术任职资格，扣1分；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③其他人员资质不合格，每人扣0.5分，扣完为止。</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71" w:hRule="atLeast"/>
        </w:trPr>
        <w:tc>
          <w:tcPr>
            <w:tcW w:w="475"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七、医学影像（30分）</w:t>
            </w: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（三）规章制度</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规章制度健全，有岗位职责、技术操作规范、质量控制制度、医学影像诊断报告审核制度、医学影像设备定期监测制度、环境保护、受检者防护及工作人员职业健康防护等相关制度；制定放射安全事件应急预案，有必要的紧急意外抢救药品器材，相关人员具备紧急抢救能力，有与临床科室紧急呼救与支援的机制与流程。</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规章制度健全的得10分，否则按以下情形扣分：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①无规章制度和技术操作规范，不得分；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②制度或技术操作规范未落实，酌情扣分；员工不知晓本岗位职责，扣1分；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③未制定质控指标，扣1分；指标未落实，或无质量控制记录，扣1分；院内影像设备未实行统一质控，扣1分。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④未开展设备年度安全检查，或无定期校正和维护记录，扣1分；设备运行完好率＜95%，扣0.5分。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⑤未对受检者敏感器官和组织进行屏蔽防护，扣1分；未给工作人员提供完整的放射防护器材与个人防护用品，扣1分：未为影像科人员佩戴个人放射剂量计，扣1分；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⑥影像人员未完成每年健康检查，酌情扣分。             ⑦科室无紧急意外抢救预案，扣1分；缺少必要的紧急意外抢救药品器材，扣1分；无与临床科室紧急呼救与支援的机制与流程，扣0.5分。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80" w:hRule="atLeast"/>
        </w:trPr>
        <w:tc>
          <w:tcPr>
            <w:tcW w:w="47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（四）质量</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检查报告及时、准确、规范，严格审核制度。</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抽查评审周期X线影像、超声检查、CT（MRI）或核素成像各5份报告。</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检查报告及时、准确、规范，严格执行审核制度的，得10分，否则按以下情形扣分：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①出具报告医师资质、报告时间、报告流程不符合要求，每发现一处扣0.5分；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②报告质量不符合要求，每份扣1分；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③未执行审核制度，每份扣0.5分；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④无质量评价，或未确立质量指标，扣0.3分；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⑤整改措施落实不到位，酌情扣分。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9" w:hRule="atLeast"/>
        </w:trPr>
        <w:tc>
          <w:tcPr>
            <w:tcW w:w="475"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八、院内感染管理（160分）</w:t>
            </w: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（一）管理组织</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根据《医院感染管理办法》建立健全三级医院感染管理组织体系，职责明确；院感专职人员配备应符合《医院感染监测标准》要求。</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查看相关资料（人员配备查看人事科资料）。</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未按要求建立管理组织体系扣10分；院感委员会和院感科成立无正式印发文件，扣5分。无各级组织工作职责，扣5分；组织不健全或人员组成不合理或人员变动不及时调整名单，扣3分/项；院感委员会无运行工作记录或不全，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2.未配置院感专职人员，扣10分；按每 150～200 张实际使用病床至少配备1名医院感染管理专职人员，每少一人扣2分；院感专职人员医师（临床医师或公共卫生医师）占比低于30%，扣5分；</w:t>
            </w:r>
            <w:r>
              <w:rPr>
                <w:rStyle w:val="15"/>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3.医院感染管理部门负责人不具有副高级及以上专业技术职务任职资格，扣5分。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4" w:hRule="atLeast"/>
        </w:trPr>
        <w:tc>
          <w:tcPr>
            <w:tcW w:w="47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（二）管理制度</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医院应按《医疗机构感染预防与控制基本制度（试行）》《中医技术相关性感染预防与控制指南 （试行）》等要求，建立适合本院实际情况的医院感染预防与控制制度、工作流程，并根据最新要求及时修订。</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查看医院感染基本制度、工作流程。</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感控分级管理、监测及报告、标准预防措施（手卫生）执行管理、感控风险评估、多重耐药菌感染预防与控制、侵入性器械/操作相关感染防控、培训教育、医院感染暴发报告及处置、医务人员感染性病原体职业暴露预防与处置、医疗机构内传染病相关感染预防与控制、中医技术相关性感染预防与控制制度不健全，每缺一项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2.至少抽查2项制度或工作流程，发现与医院实际情况不符，扣2分/项；未及时修订，扣2分/项。扣完为止。</w:t>
            </w:r>
          </w:p>
        </w:tc>
        <w:tc>
          <w:tcPr>
            <w:tcW w:w="25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9" w:hRule="atLeast"/>
        </w:trPr>
        <w:tc>
          <w:tcPr>
            <w:tcW w:w="475" w:type="pct"/>
            <w:vMerge w:val="restart"/>
            <w:tcBorders>
              <w:top w:val="single" w:color="000000" w:sz="4" w:space="0"/>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八、院内感染管理（160分）</w:t>
            </w: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（三）人员培训及考核</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按照《医院感染管理专业人员培训指南》《病区医院感染管理规范》等要求，每年开展院感专职人员和院科两级医院感染防控相关知识培训，院感专职人员每年接受医院感染继续教育或培训，具有相应实际工作能力；医务人员能正确掌握医院感染防控知识。</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查看培训计划与记录等相关资料，现场访谈3-5名人员（含院感专职人员、医务人员、工勤人员）</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00" w:lineRule="exact"/>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1.未制定院感专职人员培养或培训计划并实施，扣5分。院感专职人员未能每年参加省级及以上医院感染继续教育或培训，或不具有相应实际工作能力扣2分/人；</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w:t>
            </w:r>
            <w:r>
              <w:rPr>
                <w:rFonts w:hint="eastAsia" w:ascii="仿宋_GB2312" w:hAnsi="仿宋_GB2312" w:eastAsia="仿宋_GB2312" w:cs="仿宋_GB2312"/>
                <w:i w:val="0"/>
                <w:iCs w:val="0"/>
                <w:color w:val="auto"/>
                <w:spacing w:val="-6"/>
                <w:kern w:val="0"/>
                <w:sz w:val="24"/>
                <w:szCs w:val="24"/>
                <w:u w:val="none"/>
                <w:lang w:val="en-US" w:eastAsia="zh-CN" w:bidi="ar"/>
              </w:rPr>
              <w:t>未制定院科两级培训考核计划并实施，扣10分；未开展院级培训考核，扣5分；未开展科级培训，扣5分/科；</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3.培训记录（院级培训通知、培训内容、图片、签到表、考核资料、培训总结）不完整，扣2分/项；无保洁、护工培训及考核记录，扣3分；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4.医务人员、后勤工作人员不掌握医院感染防控知识，扣2分/人。</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5.未开展传染病防控和职业暴露防护知识、技能的培训，扣2分。扣完为止。</w:t>
            </w:r>
          </w:p>
        </w:tc>
        <w:tc>
          <w:tcPr>
            <w:tcW w:w="25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03" w:hRule="atLeast"/>
        </w:trPr>
        <w:tc>
          <w:tcPr>
            <w:tcW w:w="47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（四）医院感染监测与质控管理</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根据《医院感染监测标准》等，有效落实医院感染各项监测工作，定期分析总结，开展感染风险评估和医院感染质控管理，检查感染防控与制度落实情况，采取针对性的预防与控制措施，持续改进。并定期反馈。</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查阅监测计划、监测记录、监测总结、分析等</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300" w:lineRule="exact"/>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w:t>
            </w:r>
            <w:r>
              <w:rPr>
                <w:rFonts w:hint="eastAsia" w:ascii="仿宋_GB2312" w:hAnsi="仿宋_GB2312" w:eastAsia="仿宋_GB2312" w:cs="仿宋_GB2312"/>
                <w:i w:val="0"/>
                <w:iCs w:val="0"/>
                <w:color w:val="auto"/>
                <w:spacing w:val="-6"/>
                <w:kern w:val="0"/>
                <w:sz w:val="24"/>
                <w:szCs w:val="24"/>
                <w:u w:val="none"/>
                <w:lang w:val="en-US" w:eastAsia="zh-CN" w:bidi="ar"/>
              </w:rPr>
              <w:t>未开展监测工作，不得分；全院性综合监测、目标性监测、医院感染现患率调查，监测项目不全，缺一项扣3分；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 xml:space="preserve">2.监测资料不完整，无监测计划、记录、汇总分析，少一项扣2分；院科两级无持续追踪整改，扣2分/项；监测方法不正确，扣2分/项；未定期开展医院感染风险评估扣10分，风险评估与本院实际不相符扣5分。  </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3.发生医院感染暴发未报告不得分；发生疑似医院感染暴发或聚集事件未进行调查和处置，无记录，扣3分/次。未能提供校验周期内相关案例调查处置记录扣5分，调查处置不合理扣2分。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4.未开展院科两级医院感染质控管理，扣10分，未体现持续改进，无总结分析、反馈、整改追踪及效果评价资料扣5分。未纳入医院绩效考核扣5分。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5.未定期向临床反馈，每季度未能将监测的相关数据以简报的形式全院发布，扣5分。</w:t>
            </w:r>
          </w:p>
        </w:tc>
        <w:tc>
          <w:tcPr>
            <w:tcW w:w="25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60" w:hRule="atLeast"/>
        </w:trPr>
        <w:tc>
          <w:tcPr>
            <w:tcW w:w="475" w:type="pct"/>
            <w:vMerge w:val="restart"/>
            <w:tcBorders>
              <w:top w:val="single" w:color="000000" w:sz="4" w:space="0"/>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八、院内感染管理（160分）</w:t>
            </w: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（五）消毒隔离防护措施与重点部门管理</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根据《传染病防治法》《医疗机构消毒技术规范》《医院隔离技术标准》《中医技术相关性感染预防与控制指南 (试行）》《医院感染监测规范》《多重耐药菌医院感染预防与控制技术指南（试行）》等要求，落实消毒隔离防护措施和专科感染防控措施。感染性疾病科、手术室、消毒供应室、新生儿科、血液透析室、重症医学科、产科、介入手术室、口腔科、内镜室、急诊科、检验科、放射科的布局流程及运行管理符合相关院感要求。</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抽查3个医院感染重点部门和1个普通临床科室（消毒供应室必查）</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1.消毒隔离防护措施或专科感染防控措施落实不到位或不规范，扣2分/处；</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2.各类医疗器械、医疗用品的消毒、灭菌方法方式不符合要求，扣2分/处；消毒与防护用品不符合标准，扣5分；                                           3.未对疑似/确诊的传染病患者或多重耐药菌感染/定值患者采取有效隔离措施，扣3分/人；</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2.重点部门建筑布局流程不合理，扣2分/部门；</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3.临床科室未建立与本科室相关感染防控制度扣5分/部门，制度不全，扣2分/项；未按要求运行管理，扣2分/处（与其他项目重复项不重复扣分）。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扣完为止。</w:t>
            </w:r>
          </w:p>
        </w:tc>
        <w:tc>
          <w:tcPr>
            <w:tcW w:w="25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14" w:hRule="atLeast"/>
        </w:trPr>
        <w:tc>
          <w:tcPr>
            <w:tcW w:w="47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（六）手卫生</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根据《医务人员手卫生规范》，制定手卫生管理制度，将手卫生纳入医院医疗质量考核；开展手卫生知识与技能培训、手卫生依从性及消毒效果监测；手卫生设施设置齐全，符合要求。</w:t>
            </w:r>
          </w:p>
        </w:tc>
        <w:tc>
          <w:tcPr>
            <w:tcW w:w="63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查看制度、培训记录、监测记录等资料，抽查2个临床科室，3-5名医务人员</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1.未制定手卫生管理制度，纳入上述“管理制度”条款扣分；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2.未将手卫生纳入院科两级培训、监测和医院医疗质量考核，扣2分/项/级或科；</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2.培训记录或监测记录不完整，扣1分/项。</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3.手卫生设施配备不齐全或不符合标准，扣2分/项。</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4.缺乏改进措施，手卫生依从率、正确率无持续改进，扣5分；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6.抽查手卫生操作不正确或工作中未规范执行或提问医务人员不掌握手卫生相关知识，扣2分/人。</w:t>
            </w:r>
          </w:p>
        </w:tc>
        <w:tc>
          <w:tcPr>
            <w:tcW w:w="25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6" w:hRule="atLeast"/>
        </w:trPr>
        <w:tc>
          <w:tcPr>
            <w:tcW w:w="475" w:type="pct"/>
            <w:tcBorders>
              <w:top w:val="single" w:color="000000" w:sz="4" w:space="0"/>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八、院内感染管理（160分）</w:t>
            </w:r>
          </w:p>
        </w:tc>
        <w:tc>
          <w:tcPr>
            <w:tcW w:w="41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（七）信息化建设</w:t>
            </w:r>
          </w:p>
        </w:tc>
        <w:tc>
          <w:tcPr>
            <w:tcW w:w="121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三级中医医院应至少配备医院感染病例实时监测系统、消毒供应室追溯系统。</w:t>
            </w:r>
          </w:p>
        </w:tc>
        <w:tc>
          <w:tcPr>
            <w:tcW w:w="63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实地查看信息系统配置、使用、维护情况</w:t>
            </w:r>
          </w:p>
        </w:tc>
        <w:tc>
          <w:tcPr>
            <w:tcW w:w="20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1.医院感染病例监测系统应达到自动预警功能和院科两级监测排查预警病例的效果，不符合要求，扣3分；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2.消毒供应室追溯系统达到闭环管理功能，可监测到患者使用的器械信息，不符合要求，扣2分。</w:t>
            </w:r>
          </w:p>
        </w:tc>
        <w:tc>
          <w:tcPr>
            <w:tcW w:w="253"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bl>
    <w:p>
      <w:pPr>
        <w:keepNext w:val="0"/>
        <w:keepLines w:val="0"/>
        <w:widowControl/>
        <w:suppressLineNumbers w:val="0"/>
        <w:jc w:val="left"/>
        <w:textAlignment w:val="auto"/>
        <w:rPr>
          <w:rFonts w:hint="eastAsia" w:ascii="黑体" w:hAnsi="黑体" w:eastAsia="黑体" w:cs="黑体"/>
          <w:b w:val="0"/>
          <w:bCs w:val="0"/>
          <w:i w:val="0"/>
          <w:iCs w:val="0"/>
          <w:color w:val="auto"/>
          <w:kern w:val="0"/>
          <w:sz w:val="32"/>
          <w:szCs w:val="32"/>
          <w:u w:val="none"/>
          <w:lang w:val="en-US" w:eastAsia="zh-CN" w:bidi="ar"/>
        </w:rPr>
      </w:pPr>
      <w:r>
        <w:rPr>
          <w:color w:val="auto"/>
        </w:rPr>
        <w:br w:type="page"/>
      </w:r>
      <w:r>
        <w:rPr>
          <w:rFonts w:hint="eastAsia" w:ascii="黑体" w:hAnsi="黑体" w:eastAsia="黑体" w:cs="黑体"/>
          <w:b w:val="0"/>
          <w:bCs w:val="0"/>
          <w:i w:val="0"/>
          <w:iCs w:val="0"/>
          <w:color w:val="auto"/>
          <w:kern w:val="0"/>
          <w:sz w:val="32"/>
          <w:szCs w:val="32"/>
          <w:u w:val="none"/>
          <w:lang w:val="en-US" w:eastAsia="zh-CN" w:bidi="ar"/>
        </w:rPr>
        <w:t>附件2</w:t>
      </w:r>
    </w:p>
    <w:p>
      <w:pPr>
        <w:keepNext w:val="0"/>
        <w:keepLines w:val="0"/>
        <w:widowControl/>
        <w:suppressLineNumbers w:val="0"/>
        <w:jc w:val="center"/>
        <w:textAlignment w:val="center"/>
        <w:rPr>
          <w:rFonts w:hint="eastAsia" w:ascii="黑体" w:hAnsi="黑体" w:eastAsia="黑体" w:cs="黑体"/>
          <w:b w:val="0"/>
          <w:bCs w:val="0"/>
          <w:i w:val="0"/>
          <w:iCs w:val="0"/>
          <w:color w:val="auto"/>
          <w:kern w:val="0"/>
          <w:sz w:val="44"/>
          <w:szCs w:val="44"/>
          <w:u w:val="none"/>
          <w:lang w:val="en-US" w:eastAsia="zh-CN" w:bidi="ar"/>
        </w:rPr>
      </w:pPr>
      <w:r>
        <w:rPr>
          <w:rFonts w:hint="eastAsia" w:ascii="方正小标宋简体" w:hAnsi="方正小标宋简体" w:eastAsia="方正小标宋简体" w:cs="方正小标宋简体"/>
          <w:b w:val="0"/>
          <w:bCs w:val="0"/>
          <w:i w:val="0"/>
          <w:iCs w:val="0"/>
          <w:color w:val="auto"/>
          <w:kern w:val="0"/>
          <w:sz w:val="44"/>
          <w:szCs w:val="44"/>
          <w:u w:val="none"/>
          <w:lang w:val="en-US" w:eastAsia="zh-CN" w:bidi="ar"/>
        </w:rPr>
        <w:t>二级中医医疗机构执业校验评分细则</w:t>
      </w:r>
    </w:p>
    <w:tbl>
      <w:tblPr>
        <w:tblStyle w:val="7"/>
        <w:tblW w:w="4963"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186"/>
        <w:gridCol w:w="1298"/>
        <w:gridCol w:w="3515"/>
        <w:gridCol w:w="1777"/>
        <w:gridCol w:w="5447"/>
        <w:gridCol w:w="89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8" w:hRule="atLeast"/>
          <w:tblHeader/>
        </w:trPr>
        <w:tc>
          <w:tcPr>
            <w:tcW w:w="420" w:type="pct"/>
            <w:tcBorders>
              <w:top w:val="single" w:color="000000" w:sz="4" w:space="0"/>
              <w:left w:val="single" w:color="000000" w:sz="4" w:space="0"/>
              <w:bottom w:val="single" w:color="000000" w:sz="4" w:space="0"/>
              <w:right w:val="nil"/>
            </w:tcBorders>
            <w:noWrap/>
            <w:vAlign w:val="center"/>
          </w:tcPr>
          <w:p>
            <w:pPr>
              <w:keepNext w:val="0"/>
              <w:keepLines w:val="0"/>
              <w:widowControl/>
              <w:suppressLineNumbers w:val="0"/>
              <w:jc w:val="center"/>
              <w:textAlignment w:val="center"/>
              <w:rPr>
                <w:rFonts w:hint="eastAsia" w:ascii="黑体" w:hAnsi="黑体" w:eastAsia="黑体" w:cs="黑体"/>
                <w:b w:val="0"/>
                <w:bCs w:val="0"/>
                <w:i w:val="0"/>
                <w:iCs w:val="0"/>
                <w:color w:val="auto"/>
                <w:sz w:val="24"/>
                <w:szCs w:val="24"/>
                <w:u w:val="none"/>
              </w:rPr>
            </w:pPr>
            <w:r>
              <w:rPr>
                <w:rFonts w:hint="eastAsia" w:ascii="黑体" w:hAnsi="黑体" w:eastAsia="黑体" w:cs="黑体"/>
                <w:b w:val="0"/>
                <w:bCs w:val="0"/>
                <w:i w:val="0"/>
                <w:iCs w:val="0"/>
                <w:color w:val="auto"/>
                <w:kern w:val="0"/>
                <w:sz w:val="24"/>
                <w:szCs w:val="24"/>
                <w:u w:val="none"/>
                <w:lang w:val="en-US" w:eastAsia="zh-CN" w:bidi="ar"/>
              </w:rPr>
              <w:t>审查项目</w:t>
            </w:r>
          </w:p>
        </w:tc>
        <w:tc>
          <w:tcPr>
            <w:tcW w:w="1704" w:type="pct"/>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黑体" w:hAnsi="黑体" w:eastAsia="黑体" w:cs="黑体"/>
                <w:b w:val="0"/>
                <w:bCs w:val="0"/>
                <w:i w:val="0"/>
                <w:iCs w:val="0"/>
                <w:color w:val="auto"/>
                <w:sz w:val="24"/>
                <w:szCs w:val="24"/>
                <w:u w:val="none"/>
              </w:rPr>
            </w:pPr>
            <w:r>
              <w:rPr>
                <w:rFonts w:hint="eastAsia" w:ascii="黑体" w:hAnsi="黑体" w:eastAsia="黑体" w:cs="黑体"/>
                <w:b w:val="0"/>
                <w:bCs w:val="0"/>
                <w:i w:val="0"/>
                <w:iCs w:val="0"/>
                <w:color w:val="auto"/>
                <w:kern w:val="0"/>
                <w:sz w:val="24"/>
                <w:szCs w:val="24"/>
                <w:u w:val="none"/>
                <w:lang w:val="en-US" w:eastAsia="zh-CN" w:bidi="ar"/>
              </w:rPr>
              <w:t>审查内容</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黑体" w:hAnsi="黑体" w:eastAsia="黑体" w:cs="黑体"/>
                <w:b w:val="0"/>
                <w:bCs w:val="0"/>
                <w:i w:val="0"/>
                <w:iCs w:val="0"/>
                <w:color w:val="auto"/>
                <w:sz w:val="24"/>
                <w:szCs w:val="24"/>
                <w:u w:val="none"/>
              </w:rPr>
            </w:pPr>
            <w:r>
              <w:rPr>
                <w:rFonts w:hint="eastAsia" w:ascii="黑体" w:hAnsi="黑体" w:eastAsia="黑体" w:cs="黑体"/>
                <w:b w:val="0"/>
                <w:bCs w:val="0"/>
                <w:i w:val="0"/>
                <w:iCs w:val="0"/>
                <w:color w:val="auto"/>
                <w:kern w:val="0"/>
                <w:sz w:val="24"/>
                <w:szCs w:val="24"/>
                <w:u w:val="none"/>
                <w:lang w:val="en-US" w:eastAsia="zh-CN" w:bidi="ar"/>
              </w:rPr>
              <w:t>审查方法</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黑体" w:hAnsi="黑体" w:eastAsia="黑体" w:cs="黑体"/>
                <w:b w:val="0"/>
                <w:bCs w:val="0"/>
                <w:i w:val="0"/>
                <w:iCs w:val="0"/>
                <w:color w:val="auto"/>
                <w:sz w:val="24"/>
                <w:szCs w:val="24"/>
                <w:u w:val="none"/>
              </w:rPr>
            </w:pPr>
            <w:r>
              <w:rPr>
                <w:rFonts w:hint="eastAsia" w:ascii="黑体" w:hAnsi="黑体" w:eastAsia="黑体" w:cs="黑体"/>
                <w:b w:val="0"/>
                <w:bCs w:val="0"/>
                <w:i w:val="0"/>
                <w:iCs w:val="0"/>
                <w:color w:val="auto"/>
                <w:kern w:val="0"/>
                <w:sz w:val="24"/>
                <w:szCs w:val="24"/>
                <w:u w:val="none"/>
                <w:lang w:val="en-US" w:eastAsia="zh-CN" w:bidi="ar"/>
              </w:rPr>
              <w:t>评分标准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黑体" w:hAnsi="黑体" w:eastAsia="黑体" w:cs="黑体"/>
                <w:b w:val="0"/>
                <w:bCs w:val="0"/>
                <w:i w:val="0"/>
                <w:iCs w:val="0"/>
                <w:color w:val="auto"/>
                <w:kern w:val="2"/>
                <w:sz w:val="24"/>
                <w:szCs w:val="24"/>
                <w:u w:val="none"/>
                <w:lang w:val="en-US" w:eastAsia="zh-CN" w:bidi="ar-SA"/>
              </w:rPr>
            </w:pPr>
            <w:r>
              <w:rPr>
                <w:rFonts w:hint="eastAsia" w:ascii="黑体" w:hAnsi="黑体" w:eastAsia="黑体" w:cs="黑体"/>
                <w:b w:val="0"/>
                <w:bCs w:val="0"/>
                <w:i w:val="0"/>
                <w:iCs w:val="0"/>
                <w:color w:val="auto"/>
                <w:kern w:val="0"/>
                <w:sz w:val="24"/>
                <w:szCs w:val="24"/>
                <w:u w:val="none"/>
                <w:lang w:val="en-US" w:eastAsia="zh-CN" w:bidi="ar"/>
              </w:rPr>
              <w:t>分值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20" w:hRule="atLeast"/>
        </w:trPr>
        <w:tc>
          <w:tcPr>
            <w:tcW w:w="420" w:type="pc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一、基本标准（165分）</w:t>
            </w: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（一）床位</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b/>
                <w:bCs/>
                <w:i w:val="0"/>
                <w:iCs w:val="0"/>
                <w:color w:val="auto"/>
                <w:kern w:val="0"/>
                <w:sz w:val="24"/>
                <w:szCs w:val="24"/>
                <w:u w:val="none"/>
                <w:lang w:val="en-US" w:eastAsia="zh-CN" w:bidi="ar"/>
              </w:rPr>
              <w:t>★</w:t>
            </w:r>
            <w:r>
              <w:rPr>
                <w:rFonts w:hint="eastAsia" w:ascii="仿宋_GB2312" w:hAnsi="仿宋_GB2312" w:eastAsia="仿宋_GB2312" w:cs="仿宋_GB2312"/>
                <w:i w:val="0"/>
                <w:iCs w:val="0"/>
                <w:color w:val="auto"/>
                <w:kern w:val="0"/>
                <w:sz w:val="24"/>
                <w:szCs w:val="24"/>
                <w:u w:val="none"/>
                <w:lang w:val="en-US" w:eastAsia="zh-CN" w:bidi="ar"/>
              </w:rPr>
              <w:t>床位（牙椅）编制配置：</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①中医（民族医）医院住院床位总数</w:t>
            </w:r>
            <w:r>
              <w:rPr>
                <w:rStyle w:val="18"/>
                <w:rFonts w:hint="eastAsia" w:ascii="仿宋_GB2312" w:hAnsi="仿宋_GB2312" w:eastAsia="仿宋_GB2312" w:cs="仿宋_GB2312"/>
                <w:color w:val="auto"/>
                <w:sz w:val="24"/>
                <w:szCs w:val="24"/>
                <w:lang w:val="en-US" w:eastAsia="zh-CN" w:bidi="ar"/>
              </w:rPr>
              <w:t>≧</w:t>
            </w:r>
            <w:r>
              <w:rPr>
                <w:rStyle w:val="10"/>
                <w:rFonts w:hint="eastAsia" w:ascii="仿宋_GB2312" w:hAnsi="仿宋_GB2312" w:eastAsia="仿宋_GB2312" w:cs="仿宋_GB2312"/>
                <w:color w:val="auto"/>
                <w:sz w:val="24"/>
                <w:szCs w:val="24"/>
                <w:lang w:val="en-US" w:eastAsia="zh-CN" w:bidi="ar"/>
              </w:rPr>
              <w:t>80张。</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②中西医结合医院住院床位总数≥100张。</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③中西医结合骨科医院床位总数</w:t>
            </w:r>
            <w:r>
              <w:rPr>
                <w:rStyle w:val="18"/>
                <w:rFonts w:hint="eastAsia" w:ascii="仿宋_GB2312" w:hAnsi="仿宋_GB2312" w:eastAsia="仿宋_GB2312" w:cs="仿宋_GB2312"/>
                <w:color w:val="auto"/>
                <w:sz w:val="24"/>
                <w:szCs w:val="24"/>
                <w:lang w:val="en-US" w:eastAsia="zh-CN" w:bidi="ar"/>
              </w:rPr>
              <w:t>≧</w:t>
            </w:r>
            <w:r>
              <w:rPr>
                <w:rStyle w:val="10"/>
                <w:rFonts w:hint="eastAsia" w:ascii="仿宋_GB2312" w:hAnsi="仿宋_GB2312" w:eastAsia="仿宋_GB2312" w:cs="仿宋_GB2312"/>
                <w:color w:val="auto"/>
                <w:sz w:val="24"/>
                <w:szCs w:val="24"/>
                <w:lang w:val="en-US" w:eastAsia="zh-CN" w:bidi="ar"/>
              </w:rPr>
              <w:t>100张（其中骨科专业床位占比</w:t>
            </w:r>
            <w:r>
              <w:rPr>
                <w:rStyle w:val="18"/>
                <w:rFonts w:hint="eastAsia" w:ascii="仿宋_GB2312" w:hAnsi="仿宋_GB2312" w:eastAsia="仿宋_GB2312" w:cs="仿宋_GB2312"/>
                <w:color w:val="auto"/>
                <w:sz w:val="24"/>
                <w:szCs w:val="24"/>
                <w:lang w:val="en-US" w:eastAsia="zh-CN" w:bidi="ar"/>
              </w:rPr>
              <w:t>≧</w:t>
            </w:r>
            <w:r>
              <w:rPr>
                <w:rStyle w:val="10"/>
                <w:rFonts w:hint="eastAsia" w:ascii="仿宋_GB2312" w:hAnsi="仿宋_GB2312" w:eastAsia="仿宋_GB2312" w:cs="仿宋_GB2312"/>
                <w:color w:val="auto"/>
                <w:sz w:val="24"/>
                <w:szCs w:val="24"/>
                <w:lang w:val="en-US" w:eastAsia="zh-CN" w:bidi="ar"/>
              </w:rPr>
              <w:t>60%）。</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查看批文、医疗机构执业许可证</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1.床位（牙椅）编制床位配置符合配置要求的，得10分，否则不得分。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2.实际开放床位数与申请登记（核准）床位数按以下情形计分：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①-5%&lt;（实际开放床位数－登记（核准）床位数）/登记（核准）&lt;5%，得20分；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②（实际开放床位数－登记（核准）床位数）/登记（核准）≥10%或≤-10%时，得15分；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③（实际开放床位数－登记（核准）床位数）/登记（核准）≥20%或≤-20%时，得10分；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④（实际开放床位数－登记（核准）床位数）/登记（核准）≥30%或≤-30%时，得5分；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⑤（实际开放床位数－登记（核准）床位数）/登记（核准）≥40%或≤-40%时，得0分；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0" w:hRule="atLeast"/>
        </w:trPr>
        <w:tc>
          <w:tcPr>
            <w:tcW w:w="420"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一、基本标准（165分）</w:t>
            </w: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（二）科室设置</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b/>
                <w:bCs/>
                <w:i w:val="0"/>
                <w:iCs w:val="0"/>
                <w:color w:val="auto"/>
                <w:sz w:val="24"/>
                <w:szCs w:val="24"/>
                <w:u w:val="none"/>
              </w:rPr>
            </w:pPr>
            <w:r>
              <w:rPr>
                <w:rFonts w:hint="eastAsia" w:ascii="仿宋_GB2312" w:hAnsi="仿宋_GB2312" w:eastAsia="仿宋_GB2312" w:cs="仿宋_GB2312"/>
                <w:b/>
                <w:bCs/>
                <w:i w:val="0"/>
                <w:iCs w:val="0"/>
                <w:color w:val="auto"/>
                <w:kern w:val="0"/>
                <w:sz w:val="24"/>
                <w:szCs w:val="24"/>
                <w:u w:val="none"/>
                <w:lang w:val="en-US" w:eastAsia="zh-CN" w:bidi="ar"/>
              </w:rPr>
              <w:t>★1.1中医医院、民族医医院：</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①临床科室设置：至少设中医内科、外科等五个以上中医一级临床科室；</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②医技科室：至少设有药剂科、检验科、放射科等医技科室。</w:t>
            </w:r>
            <w:r>
              <w:rPr>
                <w:rStyle w:val="10"/>
                <w:rFonts w:hint="eastAsia" w:ascii="仿宋_GB2312" w:hAnsi="仿宋_GB2312" w:eastAsia="仿宋_GB2312" w:cs="仿宋_GB2312"/>
                <w:color w:val="auto"/>
                <w:sz w:val="24"/>
                <w:szCs w:val="24"/>
                <w:lang w:val="en-US" w:eastAsia="zh-CN" w:bidi="ar"/>
              </w:rPr>
              <w:br w:type="textWrapping"/>
            </w:r>
            <w:r>
              <w:rPr>
                <w:rFonts w:hint="eastAsia" w:ascii="仿宋_GB2312" w:hAnsi="仿宋_GB2312" w:eastAsia="仿宋_GB2312" w:cs="仿宋_GB2312"/>
                <w:b/>
                <w:bCs/>
                <w:i w:val="0"/>
                <w:iCs w:val="0"/>
                <w:color w:val="auto"/>
                <w:kern w:val="0"/>
                <w:sz w:val="24"/>
                <w:szCs w:val="24"/>
                <w:u w:val="none"/>
                <w:lang w:val="en-US" w:eastAsia="zh-CN" w:bidi="ar"/>
              </w:rPr>
              <w:t>★</w:t>
            </w:r>
            <w:r>
              <w:rPr>
                <w:rStyle w:val="11"/>
                <w:rFonts w:hint="eastAsia" w:ascii="仿宋_GB2312" w:hAnsi="仿宋_GB2312" w:eastAsia="仿宋_GB2312" w:cs="仿宋_GB2312"/>
                <w:color w:val="auto"/>
                <w:sz w:val="24"/>
                <w:szCs w:val="24"/>
                <w:lang w:val="en-US" w:eastAsia="zh-CN" w:bidi="ar"/>
              </w:rPr>
              <w:t>1.2中西医结合医院</w:t>
            </w:r>
            <w:r>
              <w:rPr>
                <w:rStyle w:val="11"/>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①临床科室设置：至少设有六个以上中西医结合一级临床科室</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②医技科室：至少设有药剂科、检验科、放射科、病理科、消毒供应室；</w:t>
            </w:r>
            <w:r>
              <w:rPr>
                <w:rStyle w:val="11"/>
                <w:rFonts w:hint="eastAsia" w:ascii="仿宋_GB2312" w:hAnsi="仿宋_GB2312" w:eastAsia="仿宋_GB2312" w:cs="仿宋_GB2312"/>
                <w:color w:val="auto"/>
                <w:sz w:val="24"/>
                <w:szCs w:val="24"/>
                <w:lang w:val="en-US" w:eastAsia="zh-CN" w:bidi="ar"/>
              </w:rPr>
              <w:br w:type="textWrapping"/>
            </w:r>
            <w:r>
              <w:rPr>
                <w:rFonts w:hint="eastAsia" w:ascii="仿宋_GB2312" w:hAnsi="仿宋_GB2312" w:eastAsia="仿宋_GB2312" w:cs="仿宋_GB2312"/>
                <w:b/>
                <w:bCs/>
                <w:i w:val="0"/>
                <w:iCs w:val="0"/>
                <w:color w:val="auto"/>
                <w:kern w:val="0"/>
                <w:sz w:val="24"/>
                <w:szCs w:val="24"/>
                <w:u w:val="none"/>
                <w:lang w:val="en-US" w:eastAsia="zh-CN" w:bidi="ar"/>
              </w:rPr>
              <w:t>★</w:t>
            </w:r>
            <w:r>
              <w:rPr>
                <w:rStyle w:val="11"/>
                <w:rFonts w:hint="eastAsia" w:ascii="仿宋_GB2312" w:hAnsi="仿宋_GB2312" w:eastAsia="仿宋_GB2312" w:cs="仿宋_GB2312"/>
                <w:color w:val="auto"/>
                <w:sz w:val="24"/>
                <w:szCs w:val="24"/>
                <w:lang w:val="en-US" w:eastAsia="zh-CN" w:bidi="ar"/>
              </w:rPr>
              <w:t>1.3中西医结合骨科医院：</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①临床科室：至少设有骨伤科、内科、针灸科、推拿科、治未病；</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②医技科室：至少设有药剂科、放射科、检验科等相应的临床功能检查室。</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现场考查科室设置，查阅资料。</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科室设置数量符合科室设置标准的，得20分；否则，每少1个科室扣3分，扣完为止。</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16" w:hRule="atLeast"/>
        </w:trPr>
        <w:tc>
          <w:tcPr>
            <w:tcW w:w="420" w:type="pct"/>
            <w:vMerge w:val="continue"/>
            <w:tcBorders>
              <w:left w:val="single" w:color="000000" w:sz="4" w:space="0"/>
              <w:bottom w:val="single" w:color="000000" w:sz="4" w:space="0"/>
              <w:right w:val="nil"/>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（三）人员配备</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b/>
                <w:bCs/>
                <w:i w:val="0"/>
                <w:iCs w:val="0"/>
                <w:color w:val="auto"/>
                <w:kern w:val="0"/>
                <w:sz w:val="24"/>
                <w:szCs w:val="24"/>
                <w:u w:val="none"/>
                <w:lang w:val="en-US" w:eastAsia="zh-CN" w:bidi="ar"/>
              </w:rPr>
              <w:t>★</w:t>
            </w:r>
            <w:r>
              <w:rPr>
                <w:rStyle w:val="11"/>
                <w:rFonts w:hint="eastAsia" w:ascii="仿宋_GB2312" w:hAnsi="仿宋_GB2312" w:eastAsia="仿宋_GB2312" w:cs="仿宋_GB2312"/>
                <w:color w:val="auto"/>
                <w:sz w:val="24"/>
                <w:szCs w:val="24"/>
                <w:lang w:val="en-US" w:eastAsia="zh-CN" w:bidi="ar"/>
              </w:rPr>
              <w:t>1.中医医院（含民族医医院）</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①每床至少配有0.88名卫生技术人员；</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②每床至少配有0.3名护士；</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③中医人员（含西学中）占卫生技术人员总数的比例不低于60％；</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④至少有4名具有主治医师以上职称的中医师、1名中药师和相应的药剂、检验、放射等技术人员。各临床科室至少有1名中医师。</w:t>
            </w:r>
            <w:r>
              <w:rPr>
                <w:rStyle w:val="10"/>
                <w:rFonts w:hint="eastAsia" w:ascii="仿宋_GB2312" w:hAnsi="仿宋_GB2312" w:eastAsia="仿宋_GB2312" w:cs="仿宋_GB2312"/>
                <w:color w:val="auto"/>
                <w:sz w:val="24"/>
                <w:szCs w:val="24"/>
                <w:lang w:val="en-US" w:eastAsia="zh-CN" w:bidi="ar"/>
              </w:rPr>
              <w:br w:type="textWrapping"/>
            </w:r>
            <w:r>
              <w:rPr>
                <w:rFonts w:hint="eastAsia" w:ascii="仿宋_GB2312" w:hAnsi="仿宋_GB2312" w:eastAsia="仿宋_GB2312" w:cs="仿宋_GB2312"/>
                <w:b/>
                <w:bCs/>
                <w:i w:val="0"/>
                <w:iCs w:val="0"/>
                <w:color w:val="auto"/>
                <w:kern w:val="0"/>
                <w:sz w:val="24"/>
                <w:szCs w:val="24"/>
                <w:u w:val="none"/>
                <w:lang w:val="en-US" w:eastAsia="zh-CN" w:bidi="ar"/>
              </w:rPr>
              <w:t>★</w:t>
            </w:r>
            <w:r>
              <w:rPr>
                <w:rStyle w:val="11"/>
                <w:rFonts w:hint="eastAsia" w:ascii="仿宋_GB2312" w:hAnsi="仿宋_GB2312" w:eastAsia="仿宋_GB2312" w:cs="仿宋_GB2312"/>
                <w:color w:val="auto"/>
                <w:sz w:val="24"/>
                <w:szCs w:val="24"/>
                <w:lang w:val="en-US" w:eastAsia="zh-CN" w:bidi="ar"/>
              </w:rPr>
              <w:t>2.中西医结合医院</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①每床至少配有0.98名卫生技术人员；</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②每床至少配有0.35名护士；</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③中医人员（含西学中）占卫生技术人员总数的比例不低于50％；</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④至少有3名具有副主任医师以上职称的医师，其中至少有1名副主任医师以上职称的中西医结合医师；</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⑤各专业科室至少有1名具有主治医师以上职称的医师；</w:t>
            </w:r>
            <w:r>
              <w:rPr>
                <w:rStyle w:val="10"/>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⑥至少有1名主管药师和1名中药师及相应的检验、放射等技术人员。</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核查人员花名册、排班表等，查看人员的学历证书、执业证书、职称证书等。</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人员配备全部符合要求得65分，否则按以下情形计分：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1.中医医院（含民族医医院）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①每床至少配有0.88名卫生技术人员的，得10分，否则不得分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②每床至少配有0.3名护士得10分，否则不得分；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③中医人员（含西学中）占卫生技术人员总数的比例不低60％的，得10分，否则每少10%扣2分，扣完为止；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④全院至少有4名具有主治医师以上职称的中医师、1名中药师和相应的药剂、检验、放射等技术人员的，得10分，否则每少一个扣3分，扣完为止。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⑤各临床科室的主任必须是具有中级医师以上职称的医师，且各临床科室至少有1名中医师，得20分，否则每发现1个临床科室不符合要求扣1分，中医类别医师占比每少10%扣2分，扣完为止。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2.中西医结合医院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①每床至少配有0.98名卫生技术人员的，得10分，否则不得分；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②每床至少配有0.35名护士得10分，否则不得分；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③中医人员（含西学中）占卫生技术人员总数的比例不低50％的，得10分，否则每少10%扣2分，扣完为止；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④全院至少有3名具有副主任医师以上职称的医师，其中至少有1名副主任医师以上职称的中西医结合医师，得10分，否则每少一个扣3分，扣完为止；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⑤各专业科室至少有1名具有主治医师以上职称的医师，得10分，否则每少一个扣3分，扣完为止；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⑥至少有1名主管药师和1名中药师及相应的检验、放射等技术人员得10分，否则每少一个扣3分，扣完为止。</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65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420" w:type="pct"/>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一、基本标准（165分）</w:t>
            </w: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（四）房屋面积</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b/>
                <w:bCs/>
                <w:i w:val="0"/>
                <w:iCs w:val="0"/>
                <w:color w:val="auto"/>
                <w:kern w:val="0"/>
                <w:sz w:val="24"/>
                <w:szCs w:val="24"/>
                <w:u w:val="none"/>
                <w:lang w:val="en-US" w:eastAsia="zh-CN" w:bidi="ar"/>
              </w:rPr>
              <w:t>★</w:t>
            </w:r>
            <w:r>
              <w:rPr>
                <w:rFonts w:hint="eastAsia" w:ascii="仿宋_GB2312" w:hAnsi="仿宋_GB2312" w:eastAsia="仿宋_GB2312" w:cs="仿宋_GB2312"/>
                <w:i w:val="0"/>
                <w:iCs w:val="0"/>
                <w:color w:val="auto"/>
                <w:kern w:val="0"/>
                <w:sz w:val="24"/>
                <w:szCs w:val="24"/>
                <w:u w:val="none"/>
                <w:lang w:val="en-US" w:eastAsia="zh-CN" w:bidi="ar"/>
              </w:rPr>
              <w:t>每床建筑面积≥100平方米</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核查医疗机构业务用房面积、每床净使用面积、日平均每门诊人次占门诊建筑面积等。核查相应科室的建筑面积或使用面积。</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按申报床位（牙椅）数计算，每床建筑面积：≥100平方米的，得20分；每少10平方米扣1分，</w:t>
            </w:r>
            <w:r>
              <w:rPr>
                <w:rStyle w:val="19"/>
                <w:rFonts w:hint="eastAsia" w:ascii="仿宋_GB2312" w:hAnsi="仿宋_GB2312" w:eastAsia="仿宋_GB2312" w:cs="仿宋_GB2312"/>
                <w:color w:val="auto"/>
                <w:sz w:val="24"/>
                <w:szCs w:val="24"/>
                <w:lang w:val="en-US" w:eastAsia="zh-CN" w:bidi="ar"/>
              </w:rPr>
              <w:t>&lt;</w:t>
            </w:r>
            <w:r>
              <w:rPr>
                <w:rStyle w:val="13"/>
                <w:rFonts w:hint="eastAsia" w:ascii="仿宋_GB2312" w:hAnsi="仿宋_GB2312" w:eastAsia="仿宋_GB2312" w:cs="仿宋_GB2312"/>
                <w:color w:val="auto"/>
                <w:sz w:val="24"/>
                <w:szCs w:val="24"/>
                <w:lang w:val="en-US" w:eastAsia="zh-CN" w:bidi="ar"/>
              </w:rPr>
              <w:t>35</w:t>
            </w:r>
            <w:r>
              <w:rPr>
                <w:rStyle w:val="18"/>
                <w:rFonts w:hint="eastAsia" w:ascii="仿宋_GB2312" w:hAnsi="仿宋_GB2312" w:eastAsia="仿宋_GB2312" w:cs="仿宋_GB2312"/>
                <w:color w:val="auto"/>
                <w:sz w:val="24"/>
                <w:szCs w:val="24"/>
                <w:lang w:val="en-US" w:eastAsia="zh-CN" w:bidi="ar"/>
              </w:rPr>
              <w:t>平方米不得分。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51" w:hRule="atLeast"/>
        </w:trPr>
        <w:tc>
          <w:tcPr>
            <w:tcW w:w="420" w:type="pct"/>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（五）设备配备</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b/>
                <w:bCs/>
                <w:i w:val="0"/>
                <w:iCs w:val="0"/>
                <w:color w:val="auto"/>
                <w:kern w:val="0"/>
                <w:sz w:val="24"/>
                <w:szCs w:val="24"/>
                <w:u w:val="none"/>
                <w:lang w:val="en-US" w:eastAsia="zh-CN" w:bidi="ar"/>
              </w:rPr>
              <w:t>★</w:t>
            </w:r>
            <w:r>
              <w:rPr>
                <w:rFonts w:hint="eastAsia" w:ascii="仿宋_GB2312" w:hAnsi="仿宋_GB2312" w:eastAsia="仿宋_GB2312" w:cs="仿宋_GB2312"/>
                <w:i w:val="0"/>
                <w:iCs w:val="0"/>
                <w:color w:val="auto"/>
                <w:kern w:val="0"/>
                <w:sz w:val="24"/>
                <w:szCs w:val="24"/>
                <w:u w:val="none"/>
                <w:lang w:val="en-US" w:eastAsia="zh-CN" w:bidi="ar"/>
              </w:rPr>
              <w:t>临床科室、医技科室、中药房的基本设备、病房每床单元设备、与开展的诊疗科目相应的其他设备能够满足诊疗活动的需要，达到国家中医药管理局《中医医院医疗设备配置标准（试行）》。</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按照《二级中医医院医疗设备配置标准》，核查临床科室、医技科室、中药房设备是否符合要求。</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设备配备符合《二级中医医院医疗设备配置标准》并能正常使用计算，按照以下情形计分：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临床科室、医技科室、中药房设备配备均符合《二级中医医院医疗设备配置标准》并能正常使用的，得15分；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每少1个科室的设备配备不符合《二级中医医院医疗设备配置标准》或不能正常使用的，扣1分，扣完为止。</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83" w:hRule="atLeast"/>
        </w:trPr>
        <w:tc>
          <w:tcPr>
            <w:tcW w:w="420" w:type="pct"/>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（六）规章制度</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b/>
                <w:bCs/>
                <w:i w:val="0"/>
                <w:iCs w:val="0"/>
                <w:color w:val="auto"/>
                <w:kern w:val="0"/>
                <w:sz w:val="24"/>
                <w:szCs w:val="24"/>
                <w:u w:val="none"/>
                <w:lang w:val="en-US" w:eastAsia="zh-CN" w:bidi="ar"/>
              </w:rPr>
              <w:t>★</w:t>
            </w:r>
            <w:r>
              <w:rPr>
                <w:rFonts w:hint="eastAsia" w:ascii="仿宋_GB2312" w:hAnsi="仿宋_GB2312" w:eastAsia="仿宋_GB2312" w:cs="仿宋_GB2312"/>
                <w:i w:val="0"/>
                <w:iCs w:val="0"/>
                <w:color w:val="auto"/>
                <w:kern w:val="0"/>
                <w:sz w:val="24"/>
                <w:szCs w:val="24"/>
                <w:u w:val="none"/>
                <w:lang w:val="en-US" w:eastAsia="zh-CN" w:bidi="ar"/>
              </w:rPr>
              <w:t>制订各项规章制度、人员岗位责任制，有国家制定或认可的医疗护理技术操作规程，应急管理规定，并成册可用。</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查阅相关制度及有关医疗护理技术操作规范、常规等资料</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①有人员岗位职责得2分，否则不得分；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②有国家制定或认可的医疗技术操作规程、诊疗规范、管理规定齐全并装订成册的，得5分，每少1个技术的扣1分，扣完为止；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③有国家制定或认可的护理技术操作规程、诊疗规范、管理规定齐全并装订成册的，得5分，每少1个技术的扣1分，扣完为止；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④有应急、消防、行风管理规定齐全并装订成册的，得3分，每一项有缺漏的扣1分，扣完为止。</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6" w:hRule="atLeast"/>
        </w:trPr>
        <w:tc>
          <w:tcPr>
            <w:tcW w:w="420" w:type="pct"/>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二、医院管理（250分）</w:t>
            </w:r>
          </w:p>
        </w:tc>
        <w:tc>
          <w:tcPr>
            <w:tcW w:w="459"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（一）依法执业（80分）</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1.医疗机构应按期申请执业校验。</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核查医疗机构是否按期申请执业校验。</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 xml:space="preserve">①在校验期满前1—3个月申请执业校验的，得10分。                 </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②在校验期满前0-1个月申请执业校验的，得6分。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③在校验期满后≤20日内申请执业校验的，得2分。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④在校验期满后&gt;20日内申请执业校验的，得0分。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48" w:hRule="atLeast"/>
        </w:trPr>
        <w:tc>
          <w:tcPr>
            <w:tcW w:w="420" w:type="pct"/>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2.医疗机构应按核准登记的项目进行执业。</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核查开设的科室、血透机等情况。</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①未在走廊等非病房开设床位的（突发公共卫生事件或灾难性事件救治等特殊原因除外），得3分；否则，每1个临床科室（病区）在走廊等非病房开设床位的扣1分，扣完为止。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②诊疗活动未超出登记的诊疗科目范围的，得5分；否则每1个诊疗活动超出登记的诊疗科目范围的扣2分，扣完为止。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③血液透析室的血液透析机数量与核准登记数量一致的，得2分，否则，超过1台透析机扣1分，扣完为止。</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40" w:hRule="atLeast"/>
        </w:trPr>
        <w:tc>
          <w:tcPr>
            <w:tcW w:w="420"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二、医院管理（245分）</w:t>
            </w:r>
          </w:p>
        </w:tc>
        <w:tc>
          <w:tcPr>
            <w:tcW w:w="459"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（一）依法执业（80分）</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3.医疗机构名称应规范。</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核查医疗机构牌匾、印章等，核准名称是否与医疗机构执业许可证一致。</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医疗机构按照规定命名的，得10分，否则按以下情形扣分：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①医疗机构有两个或者两个以上名称的，除第一名称外，其他名称未在《医疗机构执业许可证》副本备注栏予以标注的，扣2分。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②分院区登记名称未按照“主院区名称+识别名+院区/分院”命名的，扣2分。（除符合条件的分院区和国家层面推动的区域医疗中心建设项目单位外，其他非分院区的医院不允许按照此格式命名）</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③医疗集团、医联体、医院托管、对口支援等合作模式的成员单位以“某某医院+识别名+院区/分院/医院”形式命名的，扣1分。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④未经批准，医疗机构名称以“中心”等冠名的，每发现1个扣1分。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⑤其他名称使用不规范情形，扣1分。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⑥未按医疗机构执业许可证核准的医疗机构名称悬挂牌匾的，扣1分。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0" w:hRule="atLeast"/>
        </w:trPr>
        <w:tc>
          <w:tcPr>
            <w:tcW w:w="420"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★4.不良执业行为记分情况。</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核查医疗机构校验周期内的不良执业行为记分情况。</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校验周期内无医疗机构不良执业行为扣分的，得10分，否则按以下情形计分：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①校验期每年不良执业行为记分在0-4分的，得8分；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②校验期每年不良执业行为记分在4—8分的，得5分；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③校验期每年不良执业行为记分在8—12分的，得2分。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★校验期内不良执业行为记分≥36分，校验不合格</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16" w:hRule="atLeast"/>
        </w:trPr>
        <w:tc>
          <w:tcPr>
            <w:tcW w:w="420"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二、医院管理（245分）</w:t>
            </w:r>
          </w:p>
        </w:tc>
        <w:tc>
          <w:tcPr>
            <w:tcW w:w="459"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（一）依法执业（80分）</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5.卫生技术人员应依法执业。</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对照值班表或处方、医嘱，核查医师执业证书、护士执业证书及其他岗位证书。</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按规定使用卫生技术人员从事相应的诊疗活动的，得10分，否则按以下情形扣分，扣完为止：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①使用不具有医学专业学历且未取得卫生技术人员资格或者职称的人员从事诊疗、临床护理活动的，每人扣1分。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②使用医学院校实习生或者具有医学专业学历但尚未取得相应资格的人员独立从事诊疗、临床护理活动的，每人扣1分。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③使用取得相应资格但未经注册（备案）在非本医疗机构的医师或者护士独立从事诊疗、临床护理活动的，每人扣1分。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④使用定期考核不合格的医师独立从事诊疗活动的、有效期届满未延续注册的护士独立从事临床护理活动的、卫生技术人员独立从事本专业以外诊疗活动的，每人扣1分。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2" w:hRule="atLeast"/>
        </w:trPr>
        <w:tc>
          <w:tcPr>
            <w:tcW w:w="420"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6.按规定办理《放射诊疗许可证》。</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核查医疗机构的放射诊疗设备情况。</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按规定办理《放射诊疗许可证》的，得10分，否则按以下情形扣分，扣完为止：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①使用放射诊疗设备但未办理《放射诊疗许可证》或未按期申请《放射诊疗许可证》校验，扣10分。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②使用的放射诊疗设备未登记的，每台扣1分。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③登记的放射诊疗设备及其工作场所未按规定进行年度防护、性能检测的，每台设备或场所扣1分。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20"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二、医院管理（245分）</w:t>
            </w:r>
          </w:p>
        </w:tc>
        <w:tc>
          <w:tcPr>
            <w:tcW w:w="459"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（一）依法执业（80分）</w:t>
            </w:r>
          </w:p>
        </w:tc>
        <w:tc>
          <w:tcPr>
            <w:tcW w:w="124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7.大型医用设备配备符合规定。</w:t>
            </w:r>
          </w:p>
        </w:tc>
        <w:tc>
          <w:tcPr>
            <w:tcW w:w="629"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核查医疗机构的大型医用设备配置许可证。</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甲乙类大型医用设备按规定配置许可证的，得5分，否则不得分。</w:t>
            </w:r>
          </w:p>
        </w:tc>
        <w:tc>
          <w:tcPr>
            <w:tcW w:w="315" w:type="pct"/>
            <w:vMerge w:val="restar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420"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仿宋_GB2312" w:hAnsi="仿宋_GB2312" w:eastAsia="仿宋_GB2312" w:cs="仿宋_GB2312"/>
                <w:i w:val="0"/>
                <w:iCs w:val="0"/>
                <w:color w:val="auto"/>
                <w:sz w:val="24"/>
                <w:szCs w:val="24"/>
                <w:u w:val="none"/>
              </w:rPr>
            </w:pPr>
          </w:p>
        </w:tc>
        <w:tc>
          <w:tcPr>
            <w:tcW w:w="629"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both"/>
              <w:rPr>
                <w:rFonts w:hint="eastAsia" w:ascii="仿宋_GB2312" w:hAnsi="仿宋_GB2312" w:eastAsia="仿宋_GB2312" w:cs="仿宋_GB2312"/>
                <w:i w:val="0"/>
                <w:iCs w:val="0"/>
                <w:color w:val="auto"/>
                <w:sz w:val="24"/>
                <w:szCs w:val="24"/>
                <w:u w:val="none"/>
              </w:rPr>
            </w:pP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已使用甲类、乙类大型医用设备按规定进行设备信息登记的，得5分，否则未备案的每台设备扣1分，扣完为止。</w:t>
            </w:r>
          </w:p>
        </w:tc>
        <w:tc>
          <w:tcPr>
            <w:tcW w:w="315"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_GB2312" w:hAnsi="仿宋_GB2312" w:eastAsia="仿宋_GB2312" w:cs="仿宋_GB2312"/>
                <w:i w:val="0"/>
                <w:iCs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7" w:hRule="atLeast"/>
        </w:trPr>
        <w:tc>
          <w:tcPr>
            <w:tcW w:w="420" w:type="pct"/>
            <w:vMerge w:val="continue"/>
            <w:tcBorders>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124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8.开展母婴保健技术服务的医疗机构应持有有效的《母婴保健技术服务执业许可证》，人员持有相应证书。</w:t>
            </w:r>
          </w:p>
        </w:tc>
        <w:tc>
          <w:tcPr>
            <w:tcW w:w="629"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核查《母婴保健技术执业服务许可证》，看是否按批准的项目执业；查看对照值班表和处方、医嘱，核查人员相关证件。</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取得批准并按许可证登记项目开展母婴保健技术服务的，得5分，否则该项不得分。</w:t>
            </w:r>
          </w:p>
        </w:tc>
        <w:tc>
          <w:tcPr>
            <w:tcW w:w="315" w:type="pct"/>
            <w:vMerge w:val="restar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80" w:hRule="atLeast"/>
        </w:trPr>
        <w:tc>
          <w:tcPr>
            <w:tcW w:w="420"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仿宋_GB2312" w:hAnsi="仿宋_GB2312" w:eastAsia="仿宋_GB2312" w:cs="仿宋_GB2312"/>
                <w:i w:val="0"/>
                <w:iCs w:val="0"/>
                <w:color w:val="auto"/>
                <w:sz w:val="24"/>
                <w:szCs w:val="24"/>
                <w:u w:val="none"/>
              </w:rPr>
            </w:pPr>
          </w:p>
        </w:tc>
        <w:tc>
          <w:tcPr>
            <w:tcW w:w="629"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both"/>
              <w:rPr>
                <w:rFonts w:hint="eastAsia" w:ascii="仿宋_GB2312" w:hAnsi="仿宋_GB2312" w:eastAsia="仿宋_GB2312" w:cs="仿宋_GB2312"/>
                <w:i w:val="0"/>
                <w:iCs w:val="0"/>
                <w:color w:val="auto"/>
                <w:sz w:val="24"/>
                <w:szCs w:val="24"/>
                <w:u w:val="none"/>
              </w:rPr>
            </w:pP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人员按规定取得母婴保健技术服务资格，从事母婴保健技术服务工作的，得5分，否则每一人未取得资格证的扣1分，扣完为止。</w:t>
            </w:r>
          </w:p>
        </w:tc>
        <w:tc>
          <w:tcPr>
            <w:tcW w:w="315"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_GB2312" w:hAnsi="仿宋_GB2312" w:eastAsia="仿宋_GB2312" w:cs="仿宋_GB2312"/>
                <w:i w:val="0"/>
                <w:iCs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420"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（二）组织管理（30分）</w:t>
            </w:r>
          </w:p>
        </w:tc>
        <w:tc>
          <w:tcPr>
            <w:tcW w:w="124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1.医院应有健全的科学管理体系，医院领导职责分工明确。</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查医院领导正、副职分工文件。</w:t>
            </w:r>
          </w:p>
        </w:tc>
        <w:tc>
          <w:tcPr>
            <w:tcW w:w="19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有领导职责分工相关文件的，得10分，否则不得分。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60" w:hRule="atLeast"/>
        </w:trPr>
        <w:tc>
          <w:tcPr>
            <w:tcW w:w="420" w:type="pct"/>
            <w:vMerge w:val="continue"/>
            <w:tcBorders>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2.医院实行目标管理，并制定中、长期发展规划和年度计划；做好执行计划的协调、检查、考核与评价。</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查医院发展规划、周期内年度计划和总结，计划完成评价。</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有中、长期发展规划和年度计划的，得10分，否则按以下情形扣分：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①缺中长期规划的，扣4分；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②缺年度计划的，扣4分；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③未做好执行计划的协调、检查、考核评价的扣2分；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④材料全无扣10分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0" w:hRule="atLeast"/>
        </w:trPr>
        <w:tc>
          <w:tcPr>
            <w:tcW w:w="420" w:type="pct"/>
            <w:vMerge w:val="restart"/>
            <w:tcBorders>
              <w:top w:val="single" w:color="auto" w:sz="4" w:space="0"/>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二、医院管理（245分）</w:t>
            </w: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highlight w:val="none"/>
                <w:u w:val="none"/>
                <w:lang w:val="en-US" w:eastAsia="zh-CN" w:bidi="ar"/>
              </w:rPr>
              <w:t>（二）组织管理（30分）</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3.完善综合评价体系， 体现中医特点，建立以中医临床疗效为核心、以服务能力与绩效为基础的考核和激励制度。</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随机抽查5个科室考评方案及绩效分配方案</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科室综合考核目标中体现中医药、民族医药特色优势和提高临床疗效指标的，得10分；否则按以下情形扣分：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①指标不具体，或未实施的，扣3分；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②部分实施的，扣1分；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③未实行绩效工资管理，不得分；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④考核结果未体现在科室分配方案中，每个科扣1分；部分体现，每个科室扣0.5分。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6" w:hRule="atLeast"/>
        </w:trPr>
        <w:tc>
          <w:tcPr>
            <w:tcW w:w="420"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（三）信息管理（35分）</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1.设立相应的信息管理部门，包括病案室、统计室、图书室等；医院信息（包括医疗、病案统计、财务、人事、药库和图书情报等信息）实现信息化管理。</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查医院设置文件并现场检查，查信息化实施情况。</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相关部门实现信息化管理的，得10分，否则按以下情形扣分：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①缺1个部门，每个扣0.5分；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②未实行信息化管理扣10分。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420"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2.病案及时归档，按自治区卫生行政部门现行要求进行编码，无丢失等现象。</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 xml:space="preserve"> 现场检查病案科（室）、抽查10份以上病案。</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病案及时归档并编码的，得10分，否则按以下情形扣分：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①发现一份病案有缺项的，扣1分，扣完为止；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②不按规定编码、无病历归档管理记录不得分。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6" w:hRule="atLeast"/>
        </w:trPr>
        <w:tc>
          <w:tcPr>
            <w:tcW w:w="420"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3.各种统计、分析、编码及信息必须采用国家和部颁标准；数据真实，完整、准确，并及时得到分析、反馈与利用。</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查周期内各年度信息报表和信息工作总结。</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按标准统计、分析、数据并且真实完整的，得10分，否则，未按照标准统计、分析、编码的扣5分，数据不准、完整、真实的扣5分。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0" w:hRule="atLeast"/>
        </w:trPr>
        <w:tc>
          <w:tcPr>
            <w:tcW w:w="420"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4.电子病历系统应用水平达到3级以</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上。</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查阅文件。</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电子病历系统达到3级及以上的，得5分，否则不得分。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0" w:hRule="atLeast"/>
        </w:trPr>
        <w:tc>
          <w:tcPr>
            <w:tcW w:w="420"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二、医院管理（245分）</w:t>
            </w:r>
          </w:p>
        </w:tc>
        <w:tc>
          <w:tcPr>
            <w:tcW w:w="459"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（四）财务管理（30分）</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1.严格执行国家颁发的财务制度，加强财经纪律，无重大违反财经制度事件发生。</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咨询审计等相关部门，查年度财务计划及结算报告，以及周期内被上级及相关管理部门处罚情况。</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严格执行国家颁发的财务制度且无重大违反财经制度事件发生的，得10分，否则按以下情形扣分：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①财务制度每缺1项，扣3分；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②有重大违反财务制度事件发生的（以卫生行政部门、审计部门、财政部门等有关部门通报为准），不得分。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420"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2.严格执行收费标准，医疗服务项目主动公开、公开医保支付目录，执行住院费用清单制度。</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查医院收费公布和收费查询情况，并抽查50张以上门诊和10份住院病历的收费情况。</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严格执行收费标准的，医疗服务项目主动公开、公开医保支付目录，执行住院费用清单制度，得20分，否则按以下情形扣分：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①医疗服务项目收费标准和医保支付目录不公开扣10分；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spacing w:val="-6"/>
                <w:kern w:val="0"/>
                <w:sz w:val="24"/>
                <w:szCs w:val="24"/>
                <w:u w:val="none"/>
                <w:lang w:val="en-US" w:eastAsia="zh-CN" w:bidi="ar"/>
              </w:rPr>
              <w:t>②抽查病历收费情况，发现1例收费不符标准扣2分；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③不设收费查询系统扣5分；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④不提供患者住院清单扣3分。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0" w:hRule="atLeast"/>
        </w:trPr>
        <w:tc>
          <w:tcPr>
            <w:tcW w:w="420"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（五）安全管理（50分）</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1.有健全的医院安全保卫管理组织、制度、措施和定期检查评价。</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查组织机构、相关文件和记录</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有健全的医院安全保卫管理组织、制度、措施并定期检查评价的，得10分，否则按以下情形扣分：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①缺管理组织的，扣3分；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②缺制度的，扣3分；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③缺措施的，扣3分；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④缺定期检查评价的，扣1分。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7" w:hRule="atLeast"/>
        </w:trPr>
        <w:tc>
          <w:tcPr>
            <w:tcW w:w="420"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2.易发生危险的设备及部门有特殊的管理措施，如高压力系统、高压氧舱、氧气供应室、危险品仓库、同位素室、配电室、手术室、细菌室等。</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查相关管理制度、措施、记录。</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有完整的危险设备及特殊部门管理措施的，得10分，否则按以下情形扣分：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①缺制度措施扣5分；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②制度不健全扣2分；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③无相应管理记录的扣5分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9" w:hRule="atLeast"/>
        </w:trPr>
        <w:tc>
          <w:tcPr>
            <w:tcW w:w="420"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二、医院管理（245分）</w:t>
            </w:r>
          </w:p>
        </w:tc>
        <w:tc>
          <w:tcPr>
            <w:tcW w:w="459" w:type="pct"/>
            <w:vMerge w:val="restart"/>
            <w:tcBorders>
              <w:top w:val="single" w:color="000000" w:sz="4" w:space="0"/>
              <w:left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（五）安全管理（50分）</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★3.消防设备齐全，标志醒目，设备状况良好，定期检查更换，使用方便，安全疏散路线畅通，有消防部门检测合格证书。</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现场检查并查验证书。</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消防设备齐全、标志醒目，设备状况良好，安全疏散路线畅通且有消防部门检测合格证书的，得10分，否则按以下情形扣分：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①消防设备不齐的，扣3分；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②安全疏散路线有阻碍的，扣3分；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③无检测合格证书的，扣8分。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9" w:hRule="atLeast"/>
        </w:trPr>
        <w:tc>
          <w:tcPr>
            <w:tcW w:w="420"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★4.严格执行医疗用毒性药品、麻醉药品、精神药品管理制度，做到专人负责、专柜加锁、专用账册、专用处方、专册登记；无毒麻药品丢失现象。</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查管理制度、使用情况及其记录。</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有毒麻、精神药品管理制度且专人负责、专柜加锁、专用账册、专用处方、专册登记，无药品丢失情况的，得20分；否则按以下情形扣分：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①管理制度、专人负责、专柜加锁、专用账册、专用处方、专册登记，缺1项扣3分；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②有毒麻药品丢失现象该项不得分。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7" w:hRule="atLeast"/>
        </w:trPr>
        <w:tc>
          <w:tcPr>
            <w:tcW w:w="420" w:type="pct"/>
            <w:vMerge w:val="continue"/>
            <w:tcBorders>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459"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（六）环境管理（25分）</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1.执行《无烟医疗卫生机构标准（试行）》、院区保持清洁干净，道路硬化，环境舒适。</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检查院内环境卫生情况。</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有禁烟标识且院区清洁干净、道路安全、环境舒适的，得10分，否则按以下情形扣分，扣完为止：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①无禁烟标识的，扣5分；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②院区卫生差乱、环境不舒适的，扣2分；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③院区道路有不安全隐患的，扣1分。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14" w:hRule="atLeast"/>
        </w:trPr>
        <w:tc>
          <w:tcPr>
            <w:tcW w:w="420"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2.按照《医疗废物管理条例》等要求，规范处理医疗废物与污水。健全污水、污物、放射性物质等管理制度，医疗废物处理和污水排放符合有关规定。</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查阅相关制度、检测记录，并现场检查</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1.无医疗废物（包括污水处理）管理制度与处理规范，扣10分；</w:t>
            </w:r>
            <w:r>
              <w:rPr>
                <w:rFonts w:hint="eastAsia" w:ascii="仿宋_GB2312" w:hAnsi="宋体" w:eastAsia="仿宋_GB2312" w:cs="仿宋_GB2312"/>
                <w:i w:val="0"/>
                <w:iCs w:val="0"/>
                <w:color w:val="auto"/>
                <w:kern w:val="0"/>
                <w:sz w:val="24"/>
                <w:szCs w:val="24"/>
                <w:u w:val="none"/>
                <w:lang w:val="en-US" w:eastAsia="zh-CN" w:bidi="ar"/>
              </w:rPr>
              <w:br w:type="textWrapping"/>
            </w:r>
            <w:r>
              <w:rPr>
                <w:rFonts w:hint="eastAsia" w:ascii="仿宋_GB2312" w:hAnsi="宋体" w:eastAsia="仿宋_GB2312" w:cs="仿宋_GB2312"/>
                <w:i w:val="0"/>
                <w:iCs w:val="0"/>
                <w:color w:val="auto"/>
                <w:kern w:val="0"/>
                <w:sz w:val="24"/>
                <w:szCs w:val="24"/>
                <w:u w:val="none"/>
                <w:lang w:val="en-US" w:eastAsia="zh-CN" w:bidi="ar"/>
              </w:rPr>
              <w:t>2.医疗废物处理不符合规定，存在收集、打包、运送、交接、贮存、记录等不规范，每项扣3分；未签署医疗废弃物处理合同扣5分；</w:t>
            </w:r>
            <w:r>
              <w:rPr>
                <w:rFonts w:hint="eastAsia" w:ascii="仿宋_GB2312" w:hAnsi="宋体" w:eastAsia="仿宋_GB2312" w:cs="仿宋_GB2312"/>
                <w:i w:val="0"/>
                <w:iCs w:val="0"/>
                <w:color w:val="auto"/>
                <w:kern w:val="0"/>
                <w:sz w:val="24"/>
                <w:szCs w:val="24"/>
                <w:u w:val="none"/>
                <w:lang w:val="en-US" w:eastAsia="zh-CN" w:bidi="ar"/>
              </w:rPr>
              <w:br w:type="textWrapping"/>
            </w:r>
            <w:r>
              <w:rPr>
                <w:rFonts w:hint="eastAsia" w:ascii="仿宋_GB2312" w:hAnsi="宋体" w:eastAsia="仿宋_GB2312" w:cs="仿宋_GB2312"/>
                <w:i w:val="0"/>
                <w:iCs w:val="0"/>
                <w:color w:val="auto"/>
                <w:kern w:val="0"/>
                <w:sz w:val="24"/>
                <w:szCs w:val="24"/>
                <w:u w:val="none"/>
                <w:lang w:val="en-US" w:eastAsia="zh-CN" w:bidi="ar"/>
              </w:rPr>
              <w:t>3.</w:t>
            </w:r>
            <w:r>
              <w:rPr>
                <w:rFonts w:hint="eastAsia" w:ascii="仿宋_GB2312" w:hAnsi="宋体" w:eastAsia="仿宋_GB2312" w:cs="仿宋_GB2312"/>
                <w:i w:val="0"/>
                <w:iCs w:val="0"/>
                <w:color w:val="auto"/>
                <w:spacing w:val="-11"/>
                <w:kern w:val="0"/>
                <w:sz w:val="24"/>
                <w:szCs w:val="24"/>
                <w:u w:val="none"/>
                <w:lang w:val="en-US" w:eastAsia="zh-CN" w:bidi="ar"/>
              </w:rPr>
              <w:t>医疗废弃物暂存站或（处）设置不符合要求，扣5分。</w:t>
            </w:r>
            <w:r>
              <w:rPr>
                <w:rFonts w:hint="eastAsia" w:ascii="仿宋_GB2312" w:hAnsi="宋体" w:eastAsia="仿宋_GB2312" w:cs="仿宋_GB2312"/>
                <w:i w:val="0"/>
                <w:iCs w:val="0"/>
                <w:color w:val="auto"/>
                <w:spacing w:val="-6"/>
                <w:kern w:val="0"/>
                <w:sz w:val="24"/>
                <w:szCs w:val="24"/>
                <w:u w:val="none"/>
                <w:lang w:val="en-US" w:eastAsia="zh-CN" w:bidi="ar"/>
              </w:rPr>
              <w:br w:type="textWrapping"/>
            </w:r>
            <w:r>
              <w:rPr>
                <w:rFonts w:hint="eastAsia" w:ascii="仿宋_GB2312" w:hAnsi="宋体" w:eastAsia="仿宋_GB2312" w:cs="仿宋_GB2312"/>
                <w:i w:val="0"/>
                <w:iCs w:val="0"/>
                <w:color w:val="auto"/>
                <w:kern w:val="0"/>
                <w:sz w:val="24"/>
                <w:szCs w:val="24"/>
                <w:u w:val="none"/>
                <w:lang w:val="en-US" w:eastAsia="zh-CN" w:bidi="ar"/>
              </w:rPr>
              <w:t>4.污水排放不符合规定的，扣5分；未提供环保部定期出具的污水监测合格报告，扣5分；污水监测资料不完整，一处扣2分。扣完为止。</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trPr>
        <w:tc>
          <w:tcPr>
            <w:tcW w:w="420"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三、临床科室（200分）</w:t>
            </w:r>
          </w:p>
        </w:tc>
        <w:tc>
          <w:tcPr>
            <w:tcW w:w="459"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（一）人员结构（35分）</w:t>
            </w:r>
          </w:p>
        </w:tc>
        <w:tc>
          <w:tcPr>
            <w:tcW w:w="124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1.临床科室负责人应具备中级以上专业技术职务任职资格。</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抽查5个科室负责人资质证明</w:t>
            </w:r>
          </w:p>
        </w:tc>
        <w:tc>
          <w:tcPr>
            <w:tcW w:w="19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科室负责人符合资质要求的，得10分，否则一人不符扣2分，扣完为止</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420"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2.临床科室医师中中医类别执业医师占执业医师总数比例是否≥60％。</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抽查3个临床科室人员资质</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抽查科室中医类别执业医师占本科室比例≥60%的，得10分，否则一个科室不符扣3分，扣完为止</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0" w:hRule="atLeast"/>
        </w:trPr>
        <w:tc>
          <w:tcPr>
            <w:tcW w:w="420"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3.科室医务人员均应接受过中医专门训练，掌握中医学和专科的基本理论、基础知识和基本操作技能。</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抽查5个科室培训记录</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科室医务人员接受过中医训练的，得15分；否则一个科室不符的扣3分，扣完为止</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0" w:hRule="atLeast"/>
        </w:trPr>
        <w:tc>
          <w:tcPr>
            <w:tcW w:w="420"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（二）诊疗技术（65分）</w:t>
            </w:r>
          </w:p>
        </w:tc>
        <w:tc>
          <w:tcPr>
            <w:tcW w:w="124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制订病种诊疗常规、操作规程，建立、实施、评估和改进流程。技术应用符合医院感染控制、医疗质量控制规范，定期考核、评估。对于科室长期应用、疗效显著的中医医疗技术及时进行总结完善，并加以推广。</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抽查5个科室诊疗常规、操作规程、技术目录、应用推广记录等</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科室有诊疗常规、操作规程、技术目录、应用推广记录的，得10分；否则按以下情形扣分：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①材料缺一项扣1分/科，扣完为止；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②无相关材料扣2分/科，扣完为止。</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0" w:hRule="atLeast"/>
        </w:trPr>
        <w:tc>
          <w:tcPr>
            <w:tcW w:w="420"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2.制定中医诊疗技术规范、操作规程，探索中医新技术、新方法，总结简便易行、安全有效的诊疗技术。</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抽查5个科室中医诊疗新技术目录及审批档案资料、技术规范、操作规程</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科室制定有中医诊疗技术规范、操作规程的，得5分，否则按以下情形扣分：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①缺一项扣1分/科，扣完为止；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②无相关材料扣2分/科，扣完为止。</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0" w:hRule="atLeast"/>
        </w:trPr>
        <w:tc>
          <w:tcPr>
            <w:tcW w:w="420"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三、临床科室（200分）</w:t>
            </w:r>
          </w:p>
        </w:tc>
        <w:tc>
          <w:tcPr>
            <w:tcW w:w="459"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（二）诊疗技术（65分）</w:t>
            </w:r>
          </w:p>
        </w:tc>
        <w:tc>
          <w:tcPr>
            <w:tcW w:w="124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3.严格执行《中医病历书写基本规范》和《中医电子病历基本规范（试行）》，中药处方格式及书写符合相关规定。</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随机抽取5个临床科室病案10份，中药处方30张。</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病历书写、中药处方开具符合相关规定无误的，得20分，否则按以下情形扣分：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①病历书写不符合书写规范一例扣2分，扣完为止；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②处方书写不规范一例扣0.5分，扣完为止。</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78" w:hRule="atLeast"/>
        </w:trPr>
        <w:tc>
          <w:tcPr>
            <w:tcW w:w="420" w:type="pct"/>
            <w:vMerge w:val="continue"/>
            <w:tcBorders>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4.充分发挥中医手段在疾病诊疗过程中的优势，开展中医特色诊疗。有一定数量的医疗机构中药制剂并积极使用；门诊处方中，中药（饮片、中成药、医院制剂）处方比例≥60%；中药饮片处方占门诊处方总数的比例≥30%；门诊患者使用中医非药物疗法比例≥10%；出院患者使用中医非药物疗法比例≥60%；以中医为主治疗的出院患者比例≥20%。</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查看上年度绩效考核填报系统数据、上一年度医院处方、医疗机构制剂备案名录、医院门诊分科统计表等</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①门诊处方中，中药（饮片、中成药、医院制剂）处方比例：≥60%，得5分；30-60%，得3分；≤30%，得0分。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②中药饮片处方占门诊处方总数的比例≥30%，得5分；15-30%，得3分；≤15%，得0分。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③门诊患者使用中医非药物疗法比例≥10%，得5分；5-10%，得3分，≤5%，得0分。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④出院患者使用中医非药物疗法比例：≥60%，得5分；50-60%，得3分；≤40%，得0分。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⑤以中医为主治疗的出院患者比例：≥20%，得5分；15-20%，得3分；≤15%，得0分。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⑥每个中医医疗机构院内制剂≥5种，得5分，每少一种扣1分，扣完为止。</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73" w:hRule="atLeast"/>
        </w:trPr>
        <w:tc>
          <w:tcPr>
            <w:tcW w:w="420"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（三）服务能力（10分）</w:t>
            </w:r>
          </w:p>
        </w:tc>
        <w:tc>
          <w:tcPr>
            <w:tcW w:w="124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制定有各科室相适应的中医优势病种诊疗方案、护理常规、技术操作规范并定期优化；按规范要求开展医疗护理工作。</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抽查5个科室的优势病种材料，</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制定有中医优势病种诊疗方案、护理常规、技术操作规范的，得10分，否则按以下情形扣分：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①材料不全扣1分/科，</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②无材料扣2分/科</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60" w:hRule="atLeast"/>
        </w:trPr>
        <w:tc>
          <w:tcPr>
            <w:tcW w:w="420"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三、临床科室（200分）</w:t>
            </w:r>
          </w:p>
        </w:tc>
        <w:tc>
          <w:tcPr>
            <w:tcW w:w="459"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（四）医疗质量（45分）</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1.严格执行确保医疗质量和医疗安全的核心制度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 xml:space="preserve">（1）首诊负责制             </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（2）三级医师查房制度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（3）疑难病例讨论制度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（4）会诊制度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（5）急危重患者抢救制度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（6）手术分级管理制度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（7）术前讨论制度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（8）死亡病例讨论制度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（9）值班和交接班制度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（10）查对制度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（11）病历管理制度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（12）临床用血审核制度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（13）分级护理制度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（14）手术安全核查制度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（15）新技术和新项目准入制度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（16）危急值报告制度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（17）抗菌药物分级管理制度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（18）信息安全管理制度</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抽查5个科室病历及病区记录本（疑难病例讨论、死亡病例讨论、交接登记、危重病人抢救登记、会诊登记、危急值登记本）；现场检查核心制度执行状况；抽查2位医务人员了解其对核心制度的知晓度和执行力。</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核心制度落实到位，科室记录本记录完整、医务人员对医疗核心制度掌握的，得20分，否则按以下情形扣分：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①落实不到位扣2分/科，每发现1项制度不落实扣4分，扣完为止；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②医务人员对核心制度掌握程度，不熟悉扣0.5分/人，不知晓扣1分/人。</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0" w:hRule="atLeast"/>
        </w:trPr>
        <w:tc>
          <w:tcPr>
            <w:tcW w:w="420" w:type="pct"/>
            <w:vMerge w:val="continue"/>
            <w:tcBorders>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2.实施院科两级质量管理，院科二级质控组织健全、职责明确、运行记录完善，医院领导参加医疗质量管理。工作制度健全、工作记录规范可信。</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查阅院科二级资料，要求院科二级质控组织人员落实、责任明确、质控工作记录规范可信</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查看院级科级质量管理制度、工作记录，制度、工作记录完整的，得10分，否则按以下情形扣分：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①无制度或记录扣2分，无材料扣5分；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②抽查2个科室质量管理材料，材料不全扣1分/科，无材料扣2.5分/科</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7" w:hRule="atLeast"/>
        </w:trPr>
        <w:tc>
          <w:tcPr>
            <w:tcW w:w="420"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三、临床科室（200分）</w:t>
            </w: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（四）医疗质量（45分）</w:t>
            </w:r>
          </w:p>
        </w:tc>
        <w:tc>
          <w:tcPr>
            <w:tcW w:w="124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3.加强不良事件管理，有制度流程，有定期总结，分析，对一二级不良事件及频发的三四级不良事件开展根因分析，对突发公共卫生事件（含放射事件，传染病疫情）要及时有效处理。</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查阅相关制度流程及总结分析记录。</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有不良事件管理制度并制定流程、定期总结、分析原因、及时上报的，得15分，否则按以下情形扣分：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①无制度流程扣5分；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②无定期总结分析扣5分；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③有重大不良事件及突发公共卫生事件瞒报情况不得分。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6" w:hRule="atLeast"/>
        </w:trPr>
        <w:tc>
          <w:tcPr>
            <w:tcW w:w="420"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（五）三基</w:t>
            </w:r>
          </w:p>
        </w:tc>
        <w:tc>
          <w:tcPr>
            <w:tcW w:w="124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掌握中医基础理论、基本知识与基本技能，对本科常见病、多发病、疑难病和急危重症中医诊断与鉴别诊断准确。</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随机抽取3名医师考核合格</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医师对知识掌握情况良好，得15分；否则按以下情形扣分：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①掌握不全扣2分/人；</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②不了解扣5分/人</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6" w:hRule="atLeast"/>
        </w:trPr>
        <w:tc>
          <w:tcPr>
            <w:tcW w:w="420"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（六）手术</w:t>
            </w:r>
          </w:p>
        </w:tc>
        <w:tc>
          <w:tcPr>
            <w:tcW w:w="124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实行手术医师资格准入制度和手术分级授权管理制度，建立定期手术医师资格和能力评价与再授权的机制。建立手术安全核查、风险评估制度与工作流程。</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w:t>
            </w:r>
          </w:p>
        </w:tc>
        <w:tc>
          <w:tcPr>
            <w:tcW w:w="19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抽查3项限制类技术手术备案情况，备案与手术分级相符得15分，否则扣5分/人，违背伦理或者伦理论证不合格开展的手术扣5分/例，开展禁止类手术不得分。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420"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（七）麻醉</w:t>
            </w:r>
          </w:p>
        </w:tc>
        <w:tc>
          <w:tcPr>
            <w:tcW w:w="124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制定麻醉医师资格分级授权管理制度与规范，及定期能力评价与再授权的机制，麻醉人员配备合理。</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w:t>
            </w:r>
          </w:p>
        </w:tc>
        <w:tc>
          <w:tcPr>
            <w:tcW w:w="19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抽查3名麻醉医师授权材料，符合要求的得15分，否则扣5分/人</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420" w:type="pct"/>
            <w:vMerge w:val="restart"/>
            <w:tcBorders>
              <w:top w:val="single" w:color="000000" w:sz="4" w:space="0"/>
              <w:left w:val="single" w:color="000000"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四、药事管理（80分）</w:t>
            </w:r>
          </w:p>
        </w:tc>
        <w:tc>
          <w:tcPr>
            <w:tcW w:w="459"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（一）医院药事管理组织</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是否定期对临床使用中药进行监督、评价和指导，合理遴选医疗机构内使用的中药。</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查阅评审周期相关资料，实地考察。</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有药事管理组织并对临床使用中药进行监督、评价和指导，得5分，否则不得分。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3" w:hRule="atLeast"/>
        </w:trPr>
        <w:tc>
          <w:tcPr>
            <w:tcW w:w="420" w:type="pct"/>
            <w:vMerge w:val="continue"/>
            <w:tcBorders>
              <w:left w:val="single" w:color="000000"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tcBorders>
              <w:top w:val="single" w:color="000000" w:sz="4" w:space="0"/>
              <w:left w:val="single" w:color="auto" w:sz="4" w:space="0"/>
              <w:bottom w:val="single" w:color="auto"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（二）药房设置（26分）</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1.设有中药饮片库房、中药饮片调剂室、中成药库房、中成药调剂室、中药煎药室。</w:t>
            </w:r>
          </w:p>
        </w:tc>
        <w:tc>
          <w:tcPr>
            <w:tcW w:w="629"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查阅相关资料，实地考察。</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药房设置齐全，得6分，否则每少1个部门（组），扣1分。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79" w:hRule="atLeast"/>
        </w:trPr>
        <w:tc>
          <w:tcPr>
            <w:tcW w:w="420" w:type="pct"/>
            <w:vMerge w:val="restart"/>
            <w:tcBorders>
              <w:top w:val="single" w:color="auto" w:sz="4" w:space="0"/>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四、药事管理（80分）</w:t>
            </w:r>
          </w:p>
        </w:tc>
        <w:tc>
          <w:tcPr>
            <w:tcW w:w="459" w:type="pct"/>
            <w:vMerge w:val="restart"/>
            <w:tcBorders>
              <w:top w:val="single" w:color="auto" w:sz="4" w:space="0"/>
              <w:left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（二）药房设置（26分）</w:t>
            </w:r>
          </w:p>
        </w:tc>
        <w:tc>
          <w:tcPr>
            <w:tcW w:w="124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2.中药房应当远离各种污染源，中药饮片调剂室、中成药调剂室、中药煎药室应配备有效的通风、除尘、防积水以及消防等设施。</w:t>
            </w:r>
          </w:p>
        </w:tc>
        <w:tc>
          <w:tcPr>
            <w:tcW w:w="629"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both"/>
              <w:rPr>
                <w:rFonts w:hint="eastAsia" w:ascii="仿宋_GB2312" w:hAnsi="仿宋_GB2312" w:eastAsia="仿宋_GB2312" w:cs="仿宋_GB2312"/>
                <w:i w:val="0"/>
                <w:iCs w:val="0"/>
                <w:color w:val="auto"/>
                <w:sz w:val="24"/>
                <w:szCs w:val="24"/>
                <w:u w:val="none"/>
              </w:rPr>
            </w:pP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药房设置符合规范的，得4分，否则按以下情形扣分：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①中药房距各种污染源较近，扣1分；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②缺少有效的通风、除尘、防积水、消防设施，每少一种扣1分，扣完为止。</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32" w:hRule="atLeast"/>
        </w:trPr>
        <w:tc>
          <w:tcPr>
            <w:tcW w:w="420" w:type="pct"/>
            <w:vMerge w:val="continue"/>
            <w:tcBorders>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3.中药饮片调剂室面积≥100平方米；中成药调剂室面积≥60平方米。中成药调剂室、中药饮片调剂室面积应当与医院的规模和业务需求相适应。</w:t>
            </w:r>
          </w:p>
        </w:tc>
        <w:tc>
          <w:tcPr>
            <w:tcW w:w="629"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both"/>
              <w:rPr>
                <w:rFonts w:hint="eastAsia" w:ascii="仿宋_GB2312" w:hAnsi="仿宋_GB2312" w:eastAsia="仿宋_GB2312" w:cs="仿宋_GB2312"/>
                <w:i w:val="0"/>
                <w:iCs w:val="0"/>
                <w:color w:val="auto"/>
                <w:sz w:val="24"/>
                <w:szCs w:val="24"/>
                <w:u w:val="none"/>
              </w:rPr>
            </w:pP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各房屋面积符合要求的，得6分，否则按以下情形扣分，扣完为止：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①中药饮片调剂室面积&lt;100平方米，扣1分；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②中成药调剂室面积&lt;60平方米，扣1分；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③中成药、中药饮片调剂室面积与医院的规模和业务需求不相适应，每项扣1分。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8" w:hRule="atLeast"/>
        </w:trPr>
        <w:tc>
          <w:tcPr>
            <w:tcW w:w="420" w:type="pct"/>
            <w:vMerge w:val="continue"/>
            <w:tcBorders>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4.中药房的设备（器具）应当与医院的规模和业务需求相适应。</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查阅相关资料，实地考察。</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设备（器具）与医院的规模和业务需求相适应，得2分，否则不得分。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27" w:hRule="atLeast"/>
        </w:trPr>
        <w:tc>
          <w:tcPr>
            <w:tcW w:w="420" w:type="pct"/>
            <w:vMerge w:val="continue"/>
            <w:tcBorders>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auto"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5.中药房主任或副主任中，应当有主管中药师以上专业技术职务任职资格的人员。</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查阅中药房人事档案及相关证明文件</w:t>
            </w:r>
          </w:p>
        </w:tc>
        <w:tc>
          <w:tcPr>
            <w:tcW w:w="19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中药房主任或副主任中，有主管中药师以上专业技术职务任职资格的，得2分，不符合要求不得分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3" w:hRule="atLeast"/>
        </w:trPr>
        <w:tc>
          <w:tcPr>
            <w:tcW w:w="420" w:type="pct"/>
            <w:vMerge w:val="continue"/>
            <w:tcBorders>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auto"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6.中药专业技术人员占药学专业技术人员比例至少达到60%。</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查阅相关资料，并实地考察。</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中药专业技术人员占药学专业技术人员比例≥60%的，得1分，否则按以下情形扣分：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①占比30%—60%扣0.5分；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②少于30%扣1分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0" w:hRule="atLeast"/>
        </w:trPr>
        <w:tc>
          <w:tcPr>
            <w:tcW w:w="420" w:type="pct"/>
            <w:vMerge w:val="restart"/>
            <w:tcBorders>
              <w:top w:val="single" w:color="auto" w:sz="4" w:space="0"/>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四、药事管理（80分）</w:t>
            </w:r>
          </w:p>
        </w:tc>
        <w:tc>
          <w:tcPr>
            <w:tcW w:w="45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（二）药房设置（26分）</w:t>
            </w:r>
          </w:p>
        </w:tc>
        <w:tc>
          <w:tcPr>
            <w:tcW w:w="1245" w:type="pct"/>
            <w:tcBorders>
              <w:top w:val="single" w:color="000000" w:sz="4" w:space="0"/>
              <w:left w:val="single" w:color="auto"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7.中药饮片质量验收负责人应为具有中药学中级及以上专业技术职务任职资格和中药饮片鉴别经验的人员或具有丰富中药饮片鉴别经验的老药工。中药饮片调剂复核人员应具有主管中药师及以上专业技术职务任职资格(小包装饮片的复核人员应具有中药师及以上专业技术职务任职资格）。煎药室负责人应具有中药师及以上专业技术职务任职资格，煎药人员应为中药学专业人员或经广西中药药事质控中心培训取得相应资格的人员。</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查阅评审周期的人事档案及相关证明资料。</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各相应人员符合规范的，得5分，否则按以下情形扣分：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①中药饮片质量验收负责人不符合要求，扣1分；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②中药饮片调剂复核人员不符合要求，扣1分；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③煎药室负责人应具不符合要求，扣1分；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④煎药人员不符合要求的，扣1分/人，扣完为止。</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39" w:hRule="atLeast"/>
        </w:trPr>
        <w:tc>
          <w:tcPr>
            <w:tcW w:w="420" w:type="pct"/>
            <w:vMerge w:val="continue"/>
            <w:tcBorders>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（三）药房管理（49分）</w:t>
            </w:r>
          </w:p>
        </w:tc>
        <w:tc>
          <w:tcPr>
            <w:tcW w:w="124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1.建立中药饮片采购制度，采购程序符合相关规定，供应商资质齐全并对其定期评估。</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查阅相关资料（如中药饮片采购制度、采购计划、供应商资质档案、评估记录等），实地考察。</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有中药饮片采购制度，采购程序符合规定，供应商资质齐全并定期评估的，得10分，否则按以下情形扣分：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①无中药采购制度或供应商资质不符合要求，或有伪药及明令禁止购销的产品，不得分；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②采购制度不完善，扣2分；每发现1种劣药，扣1分，扣完为止；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③对供应商评估记录不完整，扣3分。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9" w:hRule="atLeast"/>
        </w:trPr>
        <w:tc>
          <w:tcPr>
            <w:tcW w:w="420" w:type="pct"/>
            <w:vMerge w:val="restart"/>
            <w:tcBorders>
              <w:top w:val="single" w:color="auto" w:sz="4" w:space="0"/>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四、药事管理（80分）</w:t>
            </w:r>
          </w:p>
        </w:tc>
        <w:tc>
          <w:tcPr>
            <w:tcW w:w="459" w:type="pct"/>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（三）药房管理（49分）</w:t>
            </w:r>
          </w:p>
        </w:tc>
        <w:tc>
          <w:tcPr>
            <w:tcW w:w="124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2.中药饮片验收管理制度健全并落实到位，记录完整。</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查阅中药饮片验收管理资料及评审周期的进货质量验收记录或入库清单。</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重要饮片验收管理制度健全且记录完整的，得5分，否则按以下情形扣分：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①无制度或无记录，不得分；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②制度不完善，扣1分；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③记录不完整，扣1分。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9" w:hRule="atLeast"/>
        </w:trPr>
        <w:tc>
          <w:tcPr>
            <w:tcW w:w="420" w:type="pct"/>
            <w:vMerge w:val="continue"/>
            <w:tcBorders>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3.中药储存管理规范，有保证质量的管理制度和设施条件，做到定期养护。</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查阅相关资料，并实地考察。</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中药储存符合规范、有管理制度、设施条件符合规范、定期养护的，得5分，否则按以下情形扣分：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①中药饮片有变质、霉变、生虫、串药等现象或无储存管理规范、制度，不得分；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②设施条件不完善，扣1分；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③养护记录不完整，扣1分。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0" w:hRule="atLeast"/>
        </w:trPr>
        <w:tc>
          <w:tcPr>
            <w:tcW w:w="420" w:type="pct"/>
            <w:vMerge w:val="continue"/>
            <w:tcBorders>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top w:val="single" w:color="auto" w:sz="4" w:space="0"/>
              <w:left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4.毒性中药、按麻醉药品管理的中药管理符合国家的相关法律法规。</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查阅相关资料，实地考察，并抽查10张毒性中药饮片、按麻醉药品管理的中药饮片处方。</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毒性中药、按麻醉药品管理的中药管理符合规定的，得5分，否则按以下情况扣分：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①无毒性中药饮片，不得分；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②未按规定实行双人双锁管理，扣1分；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③账物不符，扣1分；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④含毒性中药饮片、按麻醉药品管理的中药饮片处方调剂不符合规定，每张扣0.2分。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420" w:type="pct"/>
            <w:vMerge w:val="continue"/>
            <w:tcBorders>
              <w:top w:val="single" w:color="000000" w:sz="4" w:space="0"/>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5.建立中药饮片处方调剂制度和操作规范，严格处方的审核和调剂复核，调剂复核率100%，每剂重量误差应在±5%以内。严格执行中药饮片处方用名和调剂给付有关规定。</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查阅相关资料，实地考察，并抽查1日中药饮片处方和调剂后的中药饮片处方20剂。</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有中药饮片调剂制度和操作规范，操作符合规定的，得4分，否则按以下情形扣分：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①无饮片调剂制度和操作规范，不得分；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②未按规定审核或无复核签字，每张处方扣0.5分（最多扣3分）；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③重量误差不符合要求，每剂扣0.5分（最多扣2分）。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7" w:hRule="atLeast"/>
        </w:trPr>
        <w:tc>
          <w:tcPr>
            <w:tcW w:w="420" w:type="pct"/>
            <w:vMerge w:val="restart"/>
            <w:tcBorders>
              <w:top w:val="single" w:color="auto" w:sz="4" w:space="0"/>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四、药事管理（80分）</w:t>
            </w:r>
          </w:p>
        </w:tc>
        <w:tc>
          <w:tcPr>
            <w:tcW w:w="459" w:type="pct"/>
            <w:vMerge w:val="restart"/>
            <w:tcBorders>
              <w:top w:val="single" w:color="auto" w:sz="4" w:space="0"/>
              <w:left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（三）药房管理（49分）</w:t>
            </w:r>
          </w:p>
        </w:tc>
        <w:tc>
          <w:tcPr>
            <w:tcW w:w="124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6.中药制剂的配制管理规范，委托加工的制剂须经相应部门批准，按照相关的规定执行。</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查阅相关资料，并实地考察。</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有中药制剂的配置管理规范，各项操作符合规定的，得4分，否则按以下情形扣分：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①无制剂配制记录或未经批准委托加工或委托加工批件不符合规定，不得分；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②配制记录不完善，扣1分。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0" w:hRule="atLeast"/>
        </w:trPr>
        <w:tc>
          <w:tcPr>
            <w:tcW w:w="420" w:type="pct"/>
            <w:vMerge w:val="continue"/>
            <w:tcBorders>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7.7.建立中药安全性监测管理制度和中药不良反应事件报告制度，按规定报告中药不良反应。</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查阅评审周期内相关资料，随机抽查3份归档病历。</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有中药安全性监测管理制度和中药不良反应事件报告制度，按规定报告中药不良反应的，得6分，否则按以下情形扣分：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①无制度，或无中药不良反应报告记录，不得分；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w:t>
            </w:r>
            <w:r>
              <w:rPr>
                <w:rFonts w:hint="eastAsia" w:ascii="仿宋_GB2312" w:hAnsi="仿宋_GB2312" w:eastAsia="仿宋_GB2312" w:cs="仿宋_GB2312"/>
                <w:i w:val="0"/>
                <w:iCs w:val="0"/>
                <w:color w:val="auto"/>
                <w:spacing w:val="-6"/>
                <w:kern w:val="0"/>
                <w:sz w:val="24"/>
                <w:szCs w:val="24"/>
                <w:u w:val="none"/>
                <w:lang w:val="en-US" w:eastAsia="zh-CN" w:bidi="ar"/>
              </w:rPr>
              <w:t>未按照规定上报不良反应，每例扣2分，扣完为止。</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4" w:hRule="atLeast"/>
        </w:trPr>
        <w:tc>
          <w:tcPr>
            <w:tcW w:w="420" w:type="pct"/>
            <w:vMerge w:val="continue"/>
            <w:tcBorders>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8.定期开展中药处方评价工作，规范处方（用药医嘱）开具、审核、调配、核发、用药指导等行为。</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查阅评审周期相关资料，并实地核查。随机抽查某日中药饮片处方30张、住院病历5份。</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80" w:lineRule="exact"/>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定期开展中药处方评价工作，规范处方（用药医嘱）开具、审核、调配、核发、用药指导等行为的，得10分，否则按以下情形扣分：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①未制定中药饮片处方点评工作制度，扣1分；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②无点评记录，扣1分；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③记录不完整，扣0.5分。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w:t>
            </w:r>
            <w:r>
              <w:rPr>
                <w:rFonts w:hint="eastAsia" w:ascii="仿宋_GB2312" w:hAnsi="仿宋_GB2312" w:eastAsia="仿宋_GB2312" w:cs="仿宋_GB2312"/>
                <w:i w:val="0"/>
                <w:iCs w:val="0"/>
                <w:color w:val="auto"/>
                <w:spacing w:val="-6"/>
                <w:kern w:val="0"/>
                <w:sz w:val="24"/>
                <w:szCs w:val="24"/>
                <w:u w:val="none"/>
                <w:lang w:val="en-US" w:eastAsia="zh-CN" w:bidi="ar"/>
              </w:rPr>
              <w:t>门急诊中药饮片处方的抽查率&lt;中药饮片总处方量的0.5％，或每月点评处方绝对数&lt;100张，扣1分；</w:t>
            </w:r>
            <w:r>
              <w:rPr>
                <w:rFonts w:hint="eastAsia" w:ascii="仿宋_GB2312" w:hAnsi="仿宋_GB2312" w:eastAsia="仿宋_GB2312" w:cs="仿宋_GB2312"/>
                <w:i w:val="0"/>
                <w:iCs w:val="0"/>
                <w:color w:val="auto"/>
                <w:spacing w:val="-6"/>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⑤病房（区）中药饮片处方抽查率（按出院病历数计）&lt;5%，或每月点评出院病历绝对数&lt;30份，扣1分；核查结果不符合，扣0.5分。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⑥抽查处方50份：中药饮片处方（医嘱）内容不规范，扣0.5分；药名书写不正确，每张扣0.5分；脚注不明确或没有书写，每张扣0.5分；双签字要求落实不到位，每张扣0.5分。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⑦处方点评结果未公示，扣1分；未纳入绩效考核，扣1分；干预和改进措施不到位，扣1分。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6" w:hRule="atLeast"/>
        </w:trPr>
        <w:tc>
          <w:tcPr>
            <w:tcW w:w="420" w:type="pct"/>
            <w:vMerge w:val="restart"/>
            <w:tcBorders>
              <w:top w:val="single" w:color="auto" w:sz="4" w:space="0"/>
              <w:left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五、护理80分</w:t>
            </w:r>
          </w:p>
        </w:tc>
        <w:tc>
          <w:tcPr>
            <w:tcW w:w="459" w:type="pct"/>
            <w:vMerge w:val="restart"/>
            <w:tcBorders>
              <w:top w:val="single" w:color="auto" w:sz="4" w:space="0"/>
              <w:left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（一）护理管理组织。</w:t>
            </w:r>
          </w:p>
        </w:tc>
        <w:tc>
          <w:tcPr>
            <w:tcW w:w="124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1.严格执行《护士条例》，参照《中医医院中医护理工作指南（试行）》实施护理管理，医院年度工作计划中有相应的措施。</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查看医院本年度工作计划、实施工作记录等</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医院年度工作计划中有中医护理工作的计划与具体措施，并落实，得5分，否则不得分。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420" w:type="pct"/>
            <w:vMerge w:val="continue"/>
            <w:tcBorders>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2.健全护理工作制度，护理安全管理制度、岗位职责，组织制定完善中医护理常规和中西医技术操作规程，并组织实施和考核</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工作制度、岗位职责、操作规程制度、考评资料</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有护理工作制度、护理安全管理制度、岗位职责、护理常规、操作规程等，并保证实施的，得5分，否则按以下情形扣分：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①未依据法律法规、行业指南、标准制定护理制度、常规和操作规程，不得分；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②未开展培训，扣2分；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③培训记录不全面，扣1分。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7" w:hRule="atLeast"/>
        </w:trPr>
        <w:tc>
          <w:tcPr>
            <w:tcW w:w="420" w:type="pct"/>
            <w:vMerge w:val="continue"/>
            <w:tcBorders>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3.设立护理质量管理委员会实施护理质量管理工作。制定护理质量标准，定期指导、检查、考核和评价中医特色护理质量，制定质量管理与持续改进方案，制定关键环节与重点部门管理标准与措施。</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相关文件、工作记录</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设立护理质量管理委员会并开展工作，定期开展中医特色护理质量评价工作的，得5分，否则按以下情形扣分：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①未建立委员会，不得分；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②相关记录未体现质量评价工作，扣1分。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7" w:hRule="atLeast"/>
        </w:trPr>
        <w:tc>
          <w:tcPr>
            <w:tcW w:w="420" w:type="pct"/>
            <w:vMerge w:val="continue"/>
            <w:tcBorders>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4.制定并落实分级护理岗位职责，实施护理人员分级管理，护理人员知晓本岗位的职责要求。</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管理文件、考评资料</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制定并落实分级护理岗位职责，实施护理人员分级管理，护理人员知晓本岗位的职责要求的，得5分，否则按以下情形扣分：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①未实施分级管理，或无岗位职责，不得分；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②护士不知晓本岗位职责，每人扣1分，扣完为止。</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7" w:hRule="atLeast"/>
        </w:trPr>
        <w:tc>
          <w:tcPr>
            <w:tcW w:w="420" w:type="pct"/>
            <w:vMerge w:val="restart"/>
            <w:tcBorders>
              <w:top w:val="single" w:color="auto" w:sz="4" w:space="0"/>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五、护理80分</w:t>
            </w:r>
          </w:p>
        </w:tc>
        <w:tc>
          <w:tcPr>
            <w:tcW w:w="459" w:type="pct"/>
            <w:vMerge w:val="restart"/>
            <w:tcBorders>
              <w:top w:val="single" w:color="auto" w:sz="4" w:space="0"/>
              <w:left w:val="single" w:color="auto"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（二）护理人力资源管理。</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1.制定并实施有各级各类护士的在职培训计划，体现不同层次人员的培训内容与学时要求，定期考核，措施到位，护士的中医药基础知识与技能满足岗位需要。</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近三年培训计划及实施记录、培训学习材料证明、评价资料</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制定并实施有各级各类护士的在职培训计划，护士的中医药基础知识与技能满足岗位需要的，得5分，否则按以下情形扣分：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①无培训计划不得分；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②未按计划进行培训扣2分/年，扣完为止</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420" w:type="pct"/>
            <w:vMerge w:val="continue"/>
            <w:tcBorders>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auto"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2.编制专科收治疾病中医护理常规或中医护理方案、中医护理技术操作规程。</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查看相关文件资料</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编制专科收治疾病中医护理常规或中医护理方案、中医护理技术操作规程的，得5分，否则不得分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6" w:hRule="atLeast"/>
        </w:trPr>
        <w:tc>
          <w:tcPr>
            <w:tcW w:w="420" w:type="pct"/>
            <w:vMerge w:val="continue"/>
            <w:tcBorders>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auto"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w:t>
            </w:r>
            <w:r>
              <w:rPr>
                <w:rFonts w:hint="eastAsia" w:ascii="仿宋_GB2312" w:hAnsi="仿宋_GB2312" w:eastAsia="仿宋_GB2312" w:cs="仿宋_GB2312"/>
                <w:i w:val="0"/>
                <w:iCs w:val="0"/>
                <w:color w:val="auto"/>
                <w:spacing w:val="-6"/>
                <w:kern w:val="0"/>
                <w:sz w:val="24"/>
                <w:szCs w:val="24"/>
                <w:u w:val="none"/>
                <w:lang w:val="en-US" w:eastAsia="zh-CN" w:bidi="ar"/>
              </w:rPr>
              <w:t>护士掌握4项常见病的中医护理常规和护理基本操作，能够提供具有中医药特色的康复和健康指导。每个科室结合自身特点，开展2项以上中医特色护理。</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现场抽查3名护理人员</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每个科室结合自身特点，开展4项以上中医特色护理且护士掌握情况良好的，得15分，否则按以下情形扣分：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①未开展中医特色护理技术，不得分；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②护理人员对本科室的基本操作不熟悉扣3分/人</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6" w:hRule="atLeast"/>
        </w:trPr>
        <w:tc>
          <w:tcPr>
            <w:tcW w:w="420" w:type="pct"/>
            <w:vMerge w:val="continue"/>
            <w:tcBorders>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restart"/>
            <w:tcBorders>
              <w:top w:val="single" w:color="000000" w:sz="4" w:space="0"/>
              <w:left w:val="single" w:color="auto"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（三）护理组织实施管理。</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1.按照《病历书写基本规范（试行）》进行护理文件书写，有定期的质量评价。</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随机抽查3份病历</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护理文书书写符合规范的，得15分你，否则按以下情形扣分，扣完为止：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 病历护理记录不规范每份扣3分；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②未体现质量评价每份扣3分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6" w:hRule="atLeast"/>
        </w:trPr>
        <w:tc>
          <w:tcPr>
            <w:tcW w:w="420" w:type="pct"/>
            <w:vMerge w:val="continue"/>
            <w:tcBorders>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auto"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2.建立质量可追溯的机制，定期与不定期对护理质量标准进行效果评价，并能体现在持续改进的过程中。</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相关文件、检查记录、现场考核</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建立质量可追溯的机制，定期与不定期对护理质量标准进行效果评价的，得10分，否则按以下情形扣分：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①未建立机制不得分；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②未定期进行效果评价每份扣5分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3" w:hRule="atLeast"/>
        </w:trPr>
        <w:tc>
          <w:tcPr>
            <w:tcW w:w="420" w:type="pct"/>
            <w:vMerge w:val="continue"/>
            <w:tcBorders>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vMerge w:val="continue"/>
            <w:tcBorders>
              <w:left w:val="single" w:color="auto"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3.能提供适宜的中医康复、健康护理指导。</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督查记录、现场检查</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能提供适宜的中医康复和健康指导的，得10分。未提供健康指导不得分；指导不能体现中医内容扣5分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86" w:hRule="atLeast"/>
        </w:trPr>
        <w:tc>
          <w:tcPr>
            <w:tcW w:w="420" w:type="pct"/>
            <w:vMerge w:val="restart"/>
            <w:tcBorders>
              <w:top w:val="single" w:color="auto" w:sz="4" w:space="0"/>
              <w:left w:val="single" w:color="000000" w:sz="4" w:space="0"/>
              <w:bottom w:val="single" w:color="auto"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六、临床检验（40分）</w:t>
            </w: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（一）设置</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临床检验部门设置、布局、设备设施符合《医疗机构临床实验室管理办法》，临床检验项目满足临床需要，对本院临床诊疗临时需要，而不能提供的特殊检验项目，可委托其他三级甲等医院或具备资质的独立的检验机构提供服务或多院联合开展服务，但应签署医院之间的委托服务协议，有质量保证条款，能提供24小时急诊检验服务，明确急诊检验报告时间，临检项目≤30分钟出报告，生化、免疫项目≤2小时出报告。检验项目、设备、试剂及校准品管理符合现行法律法规及卫生行政部门标准的要求。</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查阅相关资料并实地考察。抽查临检、微生物、免疫、生化等专业项目，现场查看，抽查检验报告</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临床检验部门设置符合规范、服务能力符合要求的，得10分，否则按以下情况扣分，扣完为止：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①实验室设置必须符合生物安全规范，满足且完成生物安全Ⅱ级防护实验室备案。有显著缺陷扣0.5分，未备案扣10分；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②实验室未集中设置、统一管理扣1分；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③临床检验项目不能满足临床需要，扣1分；通过委托第三方检验机构来满足临床需求的，委托服务不符合要求，扣0.5分；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④每年未为临床推出新项目（至少1项），扣0.5分：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⑤微生物室未定期为临床提供耐药菌的药物敏感性报告，扣0.5分；未定期（至少半年一次）公布常见分离细菌株及其药敏情况，扣0.5分；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⑥微生物检验项目对院感控制及合理用药不能提供充分支持，扣0.5分。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⑦不能提供24小时急诊检验服务，扣1分；检验报告时间不符合要求，每项扣0.5分。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⑧检验项目不符合卫生行政部门准入范围，检验设备、试剂三证不齐全或不在有效期内，或校准品不符合法规规定的标准，或常规项目未进行恰当的方法学验证，扣1分。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0" w:hRule="atLeast"/>
        </w:trPr>
        <w:tc>
          <w:tcPr>
            <w:tcW w:w="420" w:type="pct"/>
            <w:vMerge w:val="restart"/>
            <w:tcBorders>
              <w:top w:val="single" w:color="auto" w:sz="4" w:space="0"/>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六、临床检验（40分）</w:t>
            </w: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（二）人员</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由具备临床检验专业资质的人员进行临床检验活动，解释检查结果。</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查阅相关资料，实地考察</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人员资质符合要求的，得4分，否则按以下情形扣分，扣完为止：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①资质不符合要求，每人扣0.2分；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②分子生物学实验室、HIV初筛实验室及签发HIV初筛报告检验人员无上岗证，每人扣0.1；</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③无具有相关资质的专业人员负责结果解释工作，扣0.5分。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420"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（三）规章制度</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有实验室安全流程，制度及相应的标准操作流程，检查报告审核制度、质量与安全管理制度等。</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w:t>
            </w:r>
          </w:p>
        </w:tc>
        <w:tc>
          <w:tcPr>
            <w:tcW w:w="19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有实验室安全流程，制度及相应的标准操作流程，检查报告审核制度、质量与安全管理制度的，得4分，否则不得分。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40" w:hRule="atLeast"/>
        </w:trPr>
        <w:tc>
          <w:tcPr>
            <w:tcW w:w="420" w:type="pct"/>
            <w:vMerge w:val="continue"/>
            <w:tcBorders>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（四）检验质量</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检验报告及时、准确、规范，严格审核制度。</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随机查阅检验报告，现场考核检验人员操作及报告准确度。抽查10份检验报告单(覆盖血液、体液、生化、免疫、微生物、分子等专业）。</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检验报告及时、准确、规范，严格审核制度的，得6分，否则按以下情形扣分：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①未采用量值溯源、校准验证、能力验证、室内质控和室间质评进行质控，扣2分；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②定量项目检测项目未采用量值溯源，扣2分；未进行校准验证，扣2分；（与1条重复）</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③未参加能力验证，或未开展室内质控及室间质评，扣2分；（与1条重复）</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④未按照检验结果报告时间（临检常规项目≤30分钟，生化、免疫常规项目≤1个工作日出报告，微生物常规项目≤4个工作日）出具报告，每份扣0.5分；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⑤报告格式不规范，每份扣0.2分；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⑥检验报告单未经审核并执行双签字（急诊除外），每份扣0.5分。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45" w:hRule="atLeast"/>
        </w:trPr>
        <w:tc>
          <w:tcPr>
            <w:tcW w:w="420" w:type="pct"/>
            <w:vMerge w:val="restart"/>
            <w:tcBorders>
              <w:top w:val="single" w:color="auto" w:sz="4" w:space="0"/>
              <w:left w:val="single" w:color="000000" w:sz="4" w:space="0"/>
              <w:bottom w:val="single" w:color="auto"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六、临床检验（40分）</w:t>
            </w: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（五）病理</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病理科设置、布局、设备设施符合病理科建设与管理指南的要求，服务项目满足临床诊疗需要。从事病理诊断工作和技术工作的人员资质符合病理科建设与管理指南要求，诊断质量符合相关规定。</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查阅相关资料，实地考察</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病理科建设符合要求、服务项目能满足诊疗需要、人员符合要求、诊断质量符合标准的，得6分，否则按以下情形扣分：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①不能满足医院功能和任务需求，不得分；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②服务项目不能满足临床需要，扣0.5分。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③设备配置不完备，不得分；布局不合理、不符合生物安全要求，每项扣0.5分。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④未签署委托服务协议，不得分；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⑤服务形式不明确，或无资质，或缺少质量保证条款，酌情扣分。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⑥人员配备不能满足工作需要，扣1分；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⑦相关人员不知晓本岗位职责，每人扣0.5分。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⑧科室负责人不符合，扣0.5分；报告医师不符合要求，每人扣0.2分；其他人员未经培训，每人扣0.1分；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⑨诊断或制片质量不符合相关规定，酌情扣分。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20" w:hRule="atLeast"/>
        </w:trPr>
        <w:tc>
          <w:tcPr>
            <w:tcW w:w="420" w:type="pct"/>
            <w:tcBorders>
              <w:top w:val="single" w:color="auto" w:sz="4" w:space="0"/>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六、临床检验（40分）</w:t>
            </w: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（六）输血</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1.1 落实《中华人民共和国献血法》《医疗机构临床用血管理办法（试行）》和《临床输血技术规范》等有关法律和规范，制定输血管理制度，并落实。</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1.2 加强临床用血过程管理，严格掌握输血适应症，促进临床安全、合理、科学用血。</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1.3 开展对临床医师输血知识的教育与培训（每年至少一次），开展临床用血评价。</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1.4 执行输血前相关检测规定，输血前向患者及其近亲属告知输血的目的和风险，并签署“输血治疗知情同意书”。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1.5 制定临床用血前评估和用血后效果评价制度，严格掌握输血适应症，做到安全、有效、科学用血。</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1.6 积极开展血液保护相关技术，建立自体输血、围手术期血液保护等输血技术管理制度，并落实。</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查阅相关资料，实地考察，抽查5份运行或归档的输血病历。抽查1名医务人员。</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有相关输血管理制度并落实，临床用血符合相关管理规定的，得10分，否则按以下情形扣分：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①无相关制度和实施细则，扣1分，内容未涵盖全过程，扣0.2分；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②对医务人员未进行相关培训，扣1分；医务人员对输血的相关制度不熟悉，扣0.3分。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③无用血计划，扣0.2分；无分级管理制度，扣0.2分；未定期进行用血评价及公示，扣0.2分。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④未定期进行培训，扣1分；医院未将医师合理用血的评价结果用于个人业绩考核与用血权限的认定，扣0.3分。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⑤未进行血型及感染筛查（肝功能、乙肝五项、HCV、HIV、梅毒抗体）的相关检测，每份扣0.3分；未签署“输血治疗知情同意书”，每份扣0.3分。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⑥无输血适应症管理规定，不得分；无用血后效果评价管理要求及评价，不得分；医院无输血指征综合评估的指标，扣0.5分；医务人员输血适应症掌握不全面，扣0.5分。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⑦无自体输血、围手术期血液保护等输血技术管理制度，不得分；无相关设备，不得分；上年度未开展自体输血，扣0.5分。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26" w:hRule="atLeast"/>
        </w:trPr>
        <w:tc>
          <w:tcPr>
            <w:tcW w:w="420" w:type="pct"/>
            <w:vMerge w:val="restart"/>
            <w:tcBorders>
              <w:top w:val="single" w:color="auto"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七、医学影像(30分）</w:t>
            </w: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（一）设置</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医学影像（普通放射、CT、MRl、超声、核素成像等）部门设置、布局、设备设施符合《放射诊疗管理规定》，通过医疗机构执业诊疗科目许可登记，取得《放射诊疗许可证》，服务满足临床需要。</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现场查看</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医学影像部门设置、布局、设备设施符合《放射诊疗管理规定》，通过医疗机构执业诊疗科目许可登记，取得《放射诊疗许可证》，服务满足临床需要的，得5分，否则按以下情形扣分：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①未取得《放射诊疗许可证》，或《许可证》诊疗项目与诊疗服务不符合，不得分；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②X线影像、超声检查、CT不能提供24小时急诊（包括床边急诊）检查服务，每项扣1分。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24" w:hRule="atLeast"/>
        </w:trPr>
        <w:tc>
          <w:tcPr>
            <w:tcW w:w="420" w:type="pct"/>
            <w:vMerge w:val="continue"/>
            <w:tcBorders>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（二）人员</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由具备医学影像专业资质的人员进行医学影像检查活动，出具检查报告人员应具备执业医师资质。</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工作人员资质符合相关规定的，得5分，否则按以下情形扣分：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①医师、技术人员和护士配备与影像科室服务规模和任务不相符，每类扣1分；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②科室负责人不具备副主任医师以上专业技术任职资格，扣1分；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③其他人员资质不合格，每人扣0.5分，扣完为止。</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71" w:hRule="atLeast"/>
        </w:trPr>
        <w:tc>
          <w:tcPr>
            <w:tcW w:w="420" w:type="pct"/>
            <w:vMerge w:val="restart"/>
            <w:tcBorders>
              <w:top w:val="single" w:color="auto"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七、医学影像(30分）</w:t>
            </w: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（三）规章制度</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规章制度健全，有岗位职责、技术操作规范、质量控制制度、医学影像诊断报告审核制度、医学影像设备定期监测制度、环境保护、受检者防护及工作人员职业健康防护等相关制度；制定放射安全事件应急预案，有必要的紧急意外抢救药品器材，相关人员具备紧急抢救能力，有与临床科室紧急呼救与支援的机制与流程。</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规章制度健全的得10分，否则按以下情形扣分：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①无规章制度和技术操作规范，不得分；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②制度或技术操作规范未落实，酌情扣分；员工不知晓本岗位职责，扣1分；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③未制定质控指标，扣1分；指标未落实，或无质量控制记录，扣1分；院内影像设备未实行统一质控，扣1分。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④未开展设备年度安全检查，或无定期校正和维护记录，扣1分；设备运行完好率＜95%，扣0.5分。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⑤未对受检者敏感器官和组织进行屏蔽防护，扣1分；未给工作人员提供完整的放射防护器材与个人防护用品，扣1分：未为影像科人员佩戴个人放射剂量计，扣1分；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⑥影像人员未完成每年健康检查，酌情扣分。             ⑦科室无紧急意外抢救预案，扣1分；缺少必要的紧急意外抢救药品器材，扣1分；无临床科室紧急呼救与支援的机制与流程，扣0.5分。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80" w:hRule="atLeast"/>
        </w:trPr>
        <w:tc>
          <w:tcPr>
            <w:tcW w:w="420" w:type="pct"/>
            <w:vMerge w:val="continue"/>
            <w:tcBorders>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（四）质量</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检查报告及时、准确、规范，严格审核制度。</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抽查评审周期X线影像、超声检查、CT（MRI）或核素成像各5份报告。</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检查报告及时、准确、规范，严格执行审核制度的，得10分，否则按以下情形扣分：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①出具报告医师资质、报告时间、报告流程不符合要求，每发现一处扣0.5分；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②报告质量不符合要求，每份扣1分；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③未执行审核制度，每份扣0.5分；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④无质量评价，或未确立质量指标，扣0.3分；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⑤整改措施落实不到位，酌情扣分。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2" w:hRule="atLeast"/>
        </w:trPr>
        <w:tc>
          <w:tcPr>
            <w:tcW w:w="420" w:type="pct"/>
            <w:vMerge w:val="restart"/>
            <w:tcBorders>
              <w:top w:val="single" w:color="auto"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八、院内感染管理（155分）</w:t>
            </w: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（一）管理组织</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根据《医院感染管理办法》建立健全三级医院感染管理组织体系，职责明确；院感专职人员配备应符合《医院感染监测标准》要求。</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查看相关资料（人员配备查看人事科资料）。</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未按要求建立管理组织体系扣10分；院感委员会和院感科成立无正式印发文件，扣5分。无各级组织工作职责，扣5分；组织不健全或人员组成不合理或人员变动不及时调整名单，扣3分/项；院感委员会无运行工作记录或不全，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2.未配置院感专职人员，扣10分；按每 150～200 张实际使用病床至少配备1名医院感染管理专职人员，每少一人扣2分；院感专职人员医师（临床医师或公共卫生医师）占比低于30%，扣5分；</w:t>
            </w:r>
            <w:r>
              <w:rPr>
                <w:rStyle w:val="15"/>
                <w:rFonts w:hint="eastAsia" w:ascii="仿宋_GB2312" w:hAnsi="仿宋_GB2312" w:eastAsia="仿宋_GB2312" w:cs="仿宋_GB2312"/>
                <w:color w:val="auto"/>
                <w:sz w:val="24"/>
                <w:szCs w:val="24"/>
                <w:lang w:val="en-US" w:eastAsia="zh-CN" w:bidi="ar"/>
              </w:rPr>
              <w:br w:type="textWrapping"/>
            </w:r>
            <w:r>
              <w:rPr>
                <w:rStyle w:val="10"/>
                <w:rFonts w:hint="eastAsia" w:ascii="仿宋_GB2312" w:hAnsi="仿宋_GB2312" w:eastAsia="仿宋_GB2312" w:cs="仿宋_GB2312"/>
                <w:color w:val="auto"/>
                <w:sz w:val="24"/>
                <w:szCs w:val="24"/>
                <w:lang w:val="en-US" w:eastAsia="zh-CN" w:bidi="ar"/>
              </w:rPr>
              <w:t>3.医院感染管理部门负责人不具有副高级及以上专业技术职务任职资格，扣5分。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70" w:hRule="atLeast"/>
        </w:trPr>
        <w:tc>
          <w:tcPr>
            <w:tcW w:w="420" w:type="pct"/>
            <w:vMerge w:val="continue"/>
            <w:tcBorders>
              <w:top w:val="single" w:color="000000" w:sz="4" w:space="0"/>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（二）管理制度</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医院应按《医疗机构感染预防与控制基本制度（试行）》《中医技术相关性感染预防与控制指南 (试行）》等要求，建立适合本院实际情况的医院感染预防与控制制度、工作流程，并根据最新要求及时修订。</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查看医院感染基本制度、工作流程。</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感控分级管理、监测及报告、标准预防措施（手卫生）执行管理、感控风险评估、多重耐药菌感染预防与控制、侵入性器械/操作相关感染防控、培训教育、医院感染暴发报告及处置、医务人员感染性病原体职业暴露预防与处置、医疗机构内传染病相关感染预防与控制、中医技术相关性感染预防与控制制度不健全，每缺一项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2.至少抽查2项制度或工作流程，发现与医院实际情况不符，扣2分/项；未及时修订，扣2分/项。扣完为止。</w:t>
            </w:r>
          </w:p>
        </w:tc>
        <w:tc>
          <w:tcPr>
            <w:tcW w:w="3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85" w:hRule="atLeast"/>
        </w:trPr>
        <w:tc>
          <w:tcPr>
            <w:tcW w:w="420" w:type="pct"/>
            <w:vMerge w:val="continue"/>
            <w:tcBorders>
              <w:top w:val="single" w:color="auto" w:sz="4" w:space="0"/>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院内感染管理（155分）</w:t>
            </w: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（三）人员培训及考核</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按照《医院感染管理专业人员培训指南》《病区医院感染管理规范》等要求，每年开展院感专职人员和院科两级医院感染防控相关知识培训，院感专职人员每年接受医院感染继续教育或培训，具有相应实际工作能力；医务人员能正确掌握医院感染防控知识。</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查看培训计划与记录等相关资料，现场访谈3-5名人员(含院感专职人员、医务人员、工勤人员）</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1.未制定院感专职人员培养或培训计划并实施，扣5分。院感专职人员未能每年参加省级及以上医院感染继续教育或培训，或不具有相应实际工作能力扣2分/人；</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2.未制定院科两级培训考核计划并实施，扣10分；未开展院级培训考核，扣5分；未开展科级培训，扣5分/科；</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3.培训记录（院级培训通知、培训内容、图片、签到表、考核资料、培训总结）不完整，扣2分/项；无保洁、护工培训及考核记录，扣3分；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4.医务人员、后勤工作人员不掌握医院感染防控知识，扣2分/人。</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 xml:space="preserve">5.未开展传染病防控和职业暴露防护知识、技能的培训，扣2分。 </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扣完为止。</w:t>
            </w:r>
          </w:p>
        </w:tc>
        <w:tc>
          <w:tcPr>
            <w:tcW w:w="3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55" w:hRule="atLeast"/>
        </w:trPr>
        <w:tc>
          <w:tcPr>
            <w:tcW w:w="420" w:type="pct"/>
            <w:vMerge w:val="continue"/>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院内感染管理（155分）</w:t>
            </w:r>
          </w:p>
        </w:tc>
        <w:tc>
          <w:tcPr>
            <w:tcW w:w="459"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（四）医院感染监测与质控管理</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根据《医院感染监测标准》等，有效落实医院感染各项监测工作，定期分析总结，开展感染风险评估和医院感染质控管理，检查感染防控与制度落实情况，采取针对性的预防与控制措施，持续改进。并定期反馈。</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查阅监测计划、监测记录、监测总结、分析等</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1.未开展监测工作，不得分；全院性综合监测、目标性监测、医院感染现患率调查，监测项目不全，缺一项扣3分；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 xml:space="preserve">2.监测资料不完整，无监测计划、记录、汇总分析，少一项扣2分；院科两级无持续追踪整改，扣2分/项；监测方法不正确，扣2分/项；未定期开展医院感染风险评估扣10分，风险评估与本院实际不相符扣5分。  </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3.发生医院感染暴发未报告不得分；发生疑似医院感染暴发或聚集事件未进行调查和处置，无记录，扣3分/次。未能提供校验周期内相关案例调查处置记录扣5分，调查处置不合理扣2分。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4.未开展院科两级医院感染质控管理，扣10分，未体现持续改进，无总结分析、反馈、整改追踪及效果评价资料扣5分。未纳入医院绩效考核扣5分。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5.未定期向临床反馈，每季度未能将监测的相关数据以简报的形式全院发布，扣5分。</w:t>
            </w:r>
          </w:p>
        </w:tc>
        <w:tc>
          <w:tcPr>
            <w:tcW w:w="3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24" w:hRule="atLeast"/>
        </w:trPr>
        <w:tc>
          <w:tcPr>
            <w:tcW w:w="420" w:type="pct"/>
            <w:vMerge w:val="restart"/>
            <w:tcBorders>
              <w:top w:val="single" w:color="auto" w:sz="4" w:space="0"/>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八、院内感染管理（155分）</w:t>
            </w: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（五）消毒隔离防护措施与重点部门管理</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根据《传染病防治法》《医疗机构消毒技术规范》《医院隔离技术标准》《中医技术相关性感染预防与控制指南 (试行)》《医院感染监测规范》《多重耐药菌医院感染预防与控制技术指南（试行）》等要求，落实消毒隔离防护措施和专科感染防控措施。感染性疾病科、手术室、消毒供应室、新生儿科、血液透析室、重症医学科、产科、介入手术室、口腔科、内镜室、急诊科、检验科、放射科的布局流程及运行管理符合相关院感要求。</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抽查3个医院感染重点部门和1个普通临床科室（消毒供应室必查）</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1.消毒隔离防护措施或专科感染防控措施落实不到位或不规范，扣2分/处；</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2.各类医疗器械、医疗用品的消毒、灭菌方法方式不符合要求，扣2分/处；消毒与防护用品不符合标准，扣5分；                                           3.未对疑似/确诊的传染病患者或多重耐药菌感染/定值患者采取有效隔离措施，扣3分/人；</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2.重点部门建筑布局流程不合理，扣2分/部门；</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3.临床科室未建立与本科室相关感染防控制度扣5分/部门，制度不全，扣2分/项；未按要求运行管理，扣2分/处（与其他项目重复项不重复扣分）。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扣完为止。</w:t>
            </w:r>
          </w:p>
        </w:tc>
        <w:tc>
          <w:tcPr>
            <w:tcW w:w="3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00" w:hRule="atLeast"/>
        </w:trPr>
        <w:tc>
          <w:tcPr>
            <w:tcW w:w="420" w:type="pct"/>
            <w:vMerge w:val="continue"/>
            <w:tcBorders>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（六）手卫生</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根据《医务人员手卫生规范》，制定手卫生管理制度，将手卫生纳入医院医疗质量考核；开展手卫生知识与技能培训、手卫生依从性及消毒效果监测；手卫生设施设置齐全，符合要求。</w:t>
            </w:r>
          </w:p>
        </w:tc>
        <w:tc>
          <w:tcPr>
            <w:tcW w:w="6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查看制度、培训记录、监测记录等资料，抽查2个临床科室，3-5名医务人员</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1.未制定手卫生管理制度，纳入上述“管理制度”条款扣分；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2.未将手卫生纳入院科两级培训、监测和医院医疗质量考核，扣2分/项/级或科；</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2.培训记录或监测记录不完整，扣1分/项。</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3.手卫生设施配备不齐全或不符合标准，扣2分/项。</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4.缺乏改进措施，手卫生依从率、正确率无持续改进，扣5分；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6.抽查手卫生操作不正确或工作中未规范执行或提问医务人员不掌握手卫生相关知识，扣2分/人。</w:t>
            </w:r>
          </w:p>
        </w:tc>
        <w:tc>
          <w:tcPr>
            <w:tcW w:w="3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420" w:type="pct"/>
            <w:tcBorders>
              <w:top w:val="single" w:color="auto" w:sz="4" w:space="0"/>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b/>
                <w:bCs/>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八、院内感染管理（155分）</w:t>
            </w:r>
          </w:p>
        </w:tc>
        <w:tc>
          <w:tcPr>
            <w:tcW w:w="45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（七）信息化建设</w:t>
            </w:r>
          </w:p>
        </w:tc>
        <w:tc>
          <w:tcPr>
            <w:tcW w:w="12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三级中医医院应至少配备医院感染病例实时监测系统、消毒供应室追塑系统。</w:t>
            </w:r>
          </w:p>
        </w:tc>
        <w:tc>
          <w:tcPr>
            <w:tcW w:w="629"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实地查看信息系统配置、使用、维护情况</w:t>
            </w:r>
          </w:p>
        </w:tc>
        <w:tc>
          <w:tcPr>
            <w:tcW w:w="1929"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宋体" w:eastAsia="仿宋_GB2312" w:cs="仿宋_GB2312"/>
                <w:i w:val="0"/>
                <w:iCs w:val="0"/>
                <w:color w:val="auto"/>
                <w:kern w:val="0"/>
                <w:sz w:val="24"/>
                <w:szCs w:val="24"/>
                <w:u w:val="none"/>
                <w:lang w:val="en-US" w:eastAsia="zh-CN" w:bidi="ar"/>
              </w:rPr>
              <w:t>1.医院感染病例监测系统应达到自动预警功能和院科两级监测排查预警病例的效果，不符合要求，扣3分；</w:t>
            </w:r>
            <w:r>
              <w:rPr>
                <w:rFonts w:hint="eastAsia" w:ascii="仿宋_GB2312" w:hAnsi="宋体" w:eastAsia="仿宋_GB2312" w:cs="仿宋_GB2312"/>
                <w:i w:val="0"/>
                <w:iCs w:val="0"/>
                <w:color w:val="auto"/>
                <w:kern w:val="0"/>
                <w:sz w:val="24"/>
                <w:szCs w:val="24"/>
                <w:u w:val="none"/>
                <w:lang w:val="en-US" w:eastAsia="zh-CN" w:bidi="ar"/>
              </w:rPr>
              <w:br w:type="textWrapping"/>
            </w:r>
            <w:r>
              <w:rPr>
                <w:rFonts w:hint="eastAsia" w:ascii="仿宋_GB2312" w:hAnsi="宋体" w:eastAsia="仿宋_GB2312" w:cs="仿宋_GB2312"/>
                <w:i w:val="0"/>
                <w:iCs w:val="0"/>
                <w:color w:val="auto"/>
                <w:kern w:val="0"/>
                <w:sz w:val="24"/>
                <w:szCs w:val="24"/>
                <w:u w:val="none"/>
                <w:lang w:val="en-US" w:eastAsia="zh-CN" w:bidi="ar"/>
              </w:rPr>
              <w:t>2.消毒供应室追塑系统达到闭环管理功能，可监测到患者使用的器械信息，不符合要求，扣2分。</w:t>
            </w:r>
          </w:p>
        </w:tc>
        <w:tc>
          <w:tcPr>
            <w:tcW w:w="31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宋体" w:eastAsia="仿宋_GB2312" w:cs="仿宋_GB2312"/>
                <w:i w:val="0"/>
                <w:iCs w:val="0"/>
                <w:color w:val="auto"/>
                <w:kern w:val="0"/>
                <w:sz w:val="24"/>
                <w:szCs w:val="24"/>
                <w:u w:val="none"/>
                <w:lang w:val="en-US" w:eastAsia="zh-CN" w:bidi="ar"/>
              </w:rPr>
              <w:t>5</w:t>
            </w:r>
          </w:p>
        </w:tc>
      </w:tr>
    </w:tbl>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黑体" w:hAnsi="黑体" w:eastAsia="黑体" w:cs="黑体"/>
          <w:color w:val="auto"/>
          <w:sz w:val="32"/>
          <w:szCs w:val="32"/>
          <w:lang w:val="en-US" w:eastAsia="zh-CN"/>
        </w:rPr>
      </w:pPr>
      <w:r>
        <w:rPr>
          <w:color w:val="auto"/>
        </w:rPr>
        <w:br w:type="page"/>
      </w:r>
      <w:r>
        <w:rPr>
          <w:rFonts w:hint="eastAsia" w:ascii="黑体" w:hAnsi="黑体" w:eastAsia="黑体" w:cs="黑体"/>
          <w:color w:val="auto"/>
          <w:sz w:val="32"/>
          <w:szCs w:val="32"/>
          <w:lang w:val="en-US" w:eastAsia="zh-CN"/>
        </w:rPr>
        <w:t>附件3</w:t>
      </w:r>
    </w:p>
    <w:p>
      <w:pPr>
        <w:keepNext w:val="0"/>
        <w:keepLines w:val="0"/>
        <w:widowControl/>
        <w:suppressLineNumbers w:val="0"/>
        <w:jc w:val="center"/>
        <w:textAlignment w:val="center"/>
        <w:rPr>
          <w:rFonts w:hint="eastAsia" w:ascii="方正小标宋简体" w:hAnsi="方正小标宋简体" w:eastAsia="方正小标宋简体" w:cs="方正小标宋简体"/>
          <w:b w:val="0"/>
          <w:bCs w:val="0"/>
          <w:i w:val="0"/>
          <w:iCs w:val="0"/>
          <w:color w:val="auto"/>
          <w:kern w:val="0"/>
          <w:sz w:val="44"/>
          <w:szCs w:val="44"/>
          <w:u w:val="none"/>
          <w:lang w:val="en-US" w:eastAsia="zh-CN" w:bidi="ar"/>
        </w:rPr>
      </w:pPr>
      <w:r>
        <w:rPr>
          <w:rFonts w:hint="eastAsia" w:ascii="方正小标宋简体" w:hAnsi="方正小标宋简体" w:eastAsia="方正小标宋简体" w:cs="方正小标宋简体"/>
          <w:b w:val="0"/>
          <w:bCs w:val="0"/>
          <w:i w:val="0"/>
          <w:iCs w:val="0"/>
          <w:color w:val="auto"/>
          <w:kern w:val="0"/>
          <w:sz w:val="44"/>
          <w:szCs w:val="44"/>
          <w:u w:val="none"/>
          <w:lang w:val="en-US" w:eastAsia="zh-CN" w:bidi="ar"/>
        </w:rPr>
        <w:t>一级中医医院医疗机构执业校验评分细则</w:t>
      </w:r>
    </w:p>
    <w:tbl>
      <w:tblPr>
        <w:tblStyle w:val="7"/>
        <w:tblW w:w="5189"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257"/>
        <w:gridCol w:w="1350"/>
        <w:gridCol w:w="3843"/>
        <w:gridCol w:w="1777"/>
        <w:gridCol w:w="5742"/>
        <w:gridCol w:w="78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8" w:hRule="atLeast"/>
          <w:tblHeader/>
          <w:jc w:val="center"/>
        </w:trPr>
        <w:tc>
          <w:tcPr>
            <w:tcW w:w="425" w:type="pct"/>
            <w:tcBorders>
              <w:top w:val="single" w:color="000000" w:sz="4" w:space="0"/>
              <w:left w:val="single" w:color="000000" w:sz="4" w:space="0"/>
              <w:bottom w:val="single" w:color="000000" w:sz="4" w:space="0"/>
              <w:right w:val="nil"/>
            </w:tcBorders>
            <w:noWrap/>
            <w:vAlign w:val="center"/>
          </w:tcPr>
          <w:p>
            <w:pPr>
              <w:keepNext w:val="0"/>
              <w:keepLines w:val="0"/>
              <w:widowControl/>
              <w:suppressLineNumbers w:val="0"/>
              <w:jc w:val="center"/>
              <w:textAlignment w:val="center"/>
              <w:rPr>
                <w:rFonts w:hint="eastAsia" w:ascii="黑体" w:hAnsi="黑体" w:eastAsia="黑体" w:cs="黑体"/>
                <w:b w:val="0"/>
                <w:bCs w:val="0"/>
                <w:i w:val="0"/>
                <w:iCs w:val="0"/>
                <w:color w:val="auto"/>
                <w:sz w:val="24"/>
                <w:szCs w:val="24"/>
                <w:u w:val="none"/>
              </w:rPr>
            </w:pPr>
            <w:r>
              <w:rPr>
                <w:rFonts w:hint="eastAsia" w:ascii="黑体" w:hAnsi="黑体" w:eastAsia="黑体" w:cs="黑体"/>
                <w:b w:val="0"/>
                <w:bCs w:val="0"/>
                <w:i w:val="0"/>
                <w:iCs w:val="0"/>
                <w:color w:val="auto"/>
                <w:kern w:val="0"/>
                <w:sz w:val="24"/>
                <w:szCs w:val="24"/>
                <w:u w:val="none"/>
                <w:lang w:val="en-US" w:eastAsia="zh-CN" w:bidi="ar"/>
              </w:rPr>
              <w:t>审查项目</w:t>
            </w:r>
          </w:p>
        </w:tc>
        <w:tc>
          <w:tcPr>
            <w:tcW w:w="1759" w:type="pct"/>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黑体" w:hAnsi="黑体" w:eastAsia="黑体" w:cs="黑体"/>
                <w:b w:val="0"/>
                <w:bCs w:val="0"/>
                <w:i w:val="0"/>
                <w:iCs w:val="0"/>
                <w:color w:val="auto"/>
                <w:sz w:val="24"/>
                <w:szCs w:val="24"/>
                <w:u w:val="none"/>
              </w:rPr>
            </w:pPr>
            <w:r>
              <w:rPr>
                <w:rFonts w:hint="eastAsia" w:ascii="黑体" w:hAnsi="黑体" w:eastAsia="黑体" w:cs="黑体"/>
                <w:b w:val="0"/>
                <w:bCs w:val="0"/>
                <w:i w:val="0"/>
                <w:iCs w:val="0"/>
                <w:color w:val="auto"/>
                <w:kern w:val="0"/>
                <w:sz w:val="24"/>
                <w:szCs w:val="24"/>
                <w:u w:val="none"/>
                <w:lang w:val="en-US" w:eastAsia="zh-CN" w:bidi="ar"/>
              </w:rPr>
              <w:t>审查内容</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黑体" w:hAnsi="黑体" w:eastAsia="黑体" w:cs="黑体"/>
                <w:b w:val="0"/>
                <w:bCs w:val="0"/>
                <w:i w:val="0"/>
                <w:iCs w:val="0"/>
                <w:color w:val="auto"/>
                <w:sz w:val="24"/>
                <w:szCs w:val="24"/>
                <w:u w:val="none"/>
              </w:rPr>
            </w:pPr>
            <w:r>
              <w:rPr>
                <w:rFonts w:hint="eastAsia" w:ascii="黑体" w:hAnsi="黑体" w:eastAsia="黑体" w:cs="黑体"/>
                <w:b w:val="0"/>
                <w:bCs w:val="0"/>
                <w:i w:val="0"/>
                <w:iCs w:val="0"/>
                <w:color w:val="auto"/>
                <w:kern w:val="0"/>
                <w:sz w:val="24"/>
                <w:szCs w:val="24"/>
                <w:u w:val="none"/>
                <w:lang w:val="en-US" w:eastAsia="zh-CN" w:bidi="ar"/>
              </w:rPr>
              <w:t>审查方法</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黑体" w:hAnsi="黑体" w:eastAsia="黑体" w:cs="黑体"/>
                <w:b w:val="0"/>
                <w:bCs w:val="0"/>
                <w:i w:val="0"/>
                <w:iCs w:val="0"/>
                <w:color w:val="auto"/>
                <w:sz w:val="24"/>
                <w:szCs w:val="24"/>
                <w:u w:val="none"/>
              </w:rPr>
            </w:pPr>
            <w:r>
              <w:rPr>
                <w:rFonts w:hint="eastAsia" w:ascii="黑体" w:hAnsi="黑体" w:eastAsia="黑体" w:cs="黑体"/>
                <w:b w:val="0"/>
                <w:bCs w:val="0"/>
                <w:i w:val="0"/>
                <w:iCs w:val="0"/>
                <w:color w:val="auto"/>
                <w:kern w:val="0"/>
                <w:sz w:val="24"/>
                <w:szCs w:val="24"/>
                <w:u w:val="none"/>
                <w:lang w:val="en-US" w:eastAsia="zh-CN" w:bidi="ar"/>
              </w:rPr>
              <w:t>评分标准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黑体" w:hAnsi="黑体" w:eastAsia="黑体" w:cs="黑体"/>
                <w:b w:val="0"/>
                <w:bCs w:val="0"/>
                <w:i w:val="0"/>
                <w:iCs w:val="0"/>
                <w:color w:val="auto"/>
                <w:kern w:val="2"/>
                <w:sz w:val="24"/>
                <w:szCs w:val="24"/>
                <w:u w:val="none"/>
                <w:lang w:val="en-US" w:eastAsia="zh-CN" w:bidi="ar-SA"/>
              </w:rPr>
            </w:pPr>
            <w:r>
              <w:rPr>
                <w:rFonts w:hint="eastAsia" w:ascii="黑体" w:hAnsi="黑体" w:eastAsia="黑体" w:cs="黑体"/>
                <w:b w:val="0"/>
                <w:bCs w:val="0"/>
                <w:i w:val="0"/>
                <w:iCs w:val="0"/>
                <w:color w:val="auto"/>
                <w:kern w:val="0"/>
                <w:sz w:val="24"/>
                <w:szCs w:val="24"/>
                <w:u w:val="none"/>
                <w:lang w:val="en-US" w:eastAsia="zh-CN" w:bidi="ar"/>
              </w:rPr>
              <w:t>分值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425"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一、基本标准（165分）</w:t>
            </w: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（一）床位</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b/>
                <w:bCs/>
                <w:i w:val="0"/>
                <w:iCs w:val="0"/>
                <w:color w:val="auto"/>
                <w:kern w:val="0"/>
                <w:sz w:val="24"/>
                <w:szCs w:val="24"/>
                <w:u w:val="none"/>
                <w:lang w:val="en-US" w:eastAsia="zh-CN" w:bidi="ar"/>
              </w:rPr>
              <w:t>★</w:t>
            </w:r>
            <w:r>
              <w:rPr>
                <w:rFonts w:hint="eastAsia" w:ascii="仿宋_GB2312" w:hAnsi="仿宋_GB2312" w:eastAsia="仿宋_GB2312" w:cs="仿宋_GB2312"/>
                <w:i w:val="0"/>
                <w:iCs w:val="0"/>
                <w:color w:val="auto"/>
                <w:kern w:val="0"/>
                <w:sz w:val="24"/>
                <w:szCs w:val="24"/>
                <w:u w:val="none"/>
                <w:lang w:val="en-US" w:eastAsia="zh-CN" w:bidi="ar"/>
              </w:rPr>
              <w:t>床位（牙椅）编制配置：</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中医医院住院床位总数20-79张。</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查看批文、医疗机构执业许可证</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1.床位（牙椅）编制床位配置符合配置要求的，得10分，否则不得分。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2.实际开放床位数与申请登记（核准）床位数按以下情形计分：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①-5%&lt;（实际开放床位数-登记（核准）床位数）/登记（核准）&lt;5%，得20分；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②（实际开放床位数-登记（核准）床位数）/登记（核准）≥10%或≤-10%时，得15分；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③（实际开放床位数-登记（核准）床位数）/登记（核准）≥20%或≤-20%时，得10分；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④（实际开放床位数-登记（核准）床位数）/登记（核准）≥30%或≤-30%时，得5分；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⑤（实际开放床位数-登记（核准）床位数）/登记（核准）≥40%或≤-40%时，得0分；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6" w:hRule="atLeast"/>
          <w:jc w:val="center"/>
        </w:trPr>
        <w:tc>
          <w:tcPr>
            <w:tcW w:w="425" w:type="pct"/>
            <w:vMerge w:val="continue"/>
            <w:tcBorders>
              <w:left w:val="single" w:color="000000" w:sz="4" w:space="0"/>
              <w:bottom w:val="single" w:color="000000" w:sz="4" w:space="0"/>
              <w:right w:val="nil"/>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（二）科室设置</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b/>
                <w:bCs/>
                <w:i w:val="0"/>
                <w:iCs w:val="0"/>
                <w:color w:val="auto"/>
                <w:kern w:val="0"/>
                <w:sz w:val="24"/>
                <w:szCs w:val="24"/>
                <w:u w:val="none"/>
                <w:lang w:val="en-US" w:eastAsia="zh-CN" w:bidi="ar"/>
              </w:rPr>
              <w:t>★</w:t>
            </w:r>
            <w:r>
              <w:rPr>
                <w:rFonts w:hint="eastAsia" w:ascii="仿宋_GB2312" w:hAnsi="仿宋_GB2312" w:eastAsia="仿宋_GB2312" w:cs="仿宋_GB2312"/>
                <w:i w:val="0"/>
                <w:iCs w:val="0"/>
                <w:color w:val="auto"/>
                <w:kern w:val="0"/>
                <w:sz w:val="24"/>
                <w:szCs w:val="24"/>
                <w:u w:val="none"/>
                <w:lang w:val="en-US" w:eastAsia="zh-CN" w:bidi="ar"/>
              </w:rPr>
              <w:t>①临床科室设置：至少设有三个中医一级临床科室；</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②医技科室：药房、化验室、X光室。</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现场考查科室设置，查阅资料。</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科室设置数量符合科室设置标准的，得20分；否则，每少1个科室扣1分，扣完为止。</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68" w:hRule="atLeast"/>
          <w:jc w:val="center"/>
        </w:trPr>
        <w:tc>
          <w:tcPr>
            <w:tcW w:w="425"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一、基本标准（165分）</w:t>
            </w: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（三）人员配备</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after="180" w:afterAutospacing="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b/>
                <w:bCs/>
                <w:i w:val="0"/>
                <w:iCs w:val="0"/>
                <w:color w:val="auto"/>
                <w:kern w:val="0"/>
                <w:sz w:val="24"/>
                <w:szCs w:val="24"/>
                <w:u w:val="none"/>
                <w:lang w:val="en-US" w:eastAsia="zh-CN" w:bidi="ar"/>
              </w:rPr>
              <w:t>★</w:t>
            </w:r>
            <w:r>
              <w:rPr>
                <w:rFonts w:hint="eastAsia" w:ascii="仿宋_GB2312" w:hAnsi="仿宋_GB2312" w:eastAsia="仿宋_GB2312" w:cs="仿宋_GB2312"/>
                <w:i w:val="0"/>
                <w:iCs w:val="0"/>
                <w:color w:val="auto"/>
                <w:kern w:val="0"/>
                <w:sz w:val="24"/>
                <w:szCs w:val="24"/>
                <w:u w:val="none"/>
                <w:lang w:val="en-US" w:eastAsia="zh-CN" w:bidi="ar"/>
              </w:rPr>
              <w:t>人员配备：</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①每床至少配有0.7名卫生技术人员；</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②中医药人员（含西学中）占医药人员总数的比例不低于60%；</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③至少有3名中医师，1名中药士，4名护士及相应的放射、检验人员；</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④至少有1名具有主治医师以上职称的中医师。</w:t>
            </w:r>
            <w:r>
              <w:rPr>
                <w:rFonts w:hint="eastAsia" w:ascii="仿宋_GB2312" w:hAnsi="仿宋_GB2312" w:eastAsia="仿宋_GB2312" w:cs="仿宋_GB2312"/>
                <w:i w:val="0"/>
                <w:iCs w:val="0"/>
                <w:color w:val="auto"/>
                <w:kern w:val="0"/>
                <w:sz w:val="24"/>
                <w:szCs w:val="24"/>
                <w:u w:val="none"/>
                <w:lang w:val="en-US" w:eastAsia="zh-CN" w:bidi="ar"/>
              </w:rPr>
              <w:br w:type="textWrapping"/>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核查人员花名册、排班表等，查看人员的学历证书、执业证书、职称证书等。</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人员配备全部符合要求得65分，否则按以下情形计分：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①每床至少配有0.7名卫生技术人员的，得20分，否则不得分；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②中医人员（含西学中）占卫生技术人员总数的比例≥60％的，得20分，否则，每少10%扣5分，扣完为止；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③至少有3名中医师，1名中药士，4名护士及相应的放射、检验人员的；得15分；否则，每少一个扣3分，扣完为止。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④至少有1名具有主治医师以上职称的中医师，得10分，否则不得分。否则不得分。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65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40" w:hRule="atLeast"/>
          <w:jc w:val="center"/>
        </w:trPr>
        <w:tc>
          <w:tcPr>
            <w:tcW w:w="425" w:type="pct"/>
            <w:vMerge w:val="continue"/>
            <w:tcBorders>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（四）房屋面积</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b/>
                <w:bCs/>
                <w:i w:val="0"/>
                <w:iCs w:val="0"/>
                <w:color w:val="auto"/>
                <w:kern w:val="0"/>
                <w:sz w:val="24"/>
                <w:szCs w:val="24"/>
                <w:u w:val="none"/>
                <w:lang w:val="en-US" w:eastAsia="zh-CN" w:bidi="ar"/>
              </w:rPr>
              <w:t>★</w:t>
            </w:r>
            <w:r>
              <w:rPr>
                <w:rFonts w:hint="eastAsia" w:ascii="仿宋_GB2312" w:hAnsi="仿宋_GB2312" w:eastAsia="仿宋_GB2312" w:cs="仿宋_GB2312"/>
                <w:i w:val="0"/>
                <w:iCs w:val="0"/>
                <w:color w:val="auto"/>
                <w:kern w:val="0"/>
                <w:sz w:val="24"/>
                <w:szCs w:val="24"/>
                <w:u w:val="none"/>
                <w:lang w:val="en-US" w:eastAsia="zh-CN" w:bidi="ar"/>
              </w:rPr>
              <w:t>每床建筑面积≥30平方米</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核查医疗机构业务用房面积、每床净使用面积、日平均每门诊人次占门诊建筑面积等。核查相应科室的建筑面积或使用面积。</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按申报床位（牙椅）数计算，每床建筑面积：≥30平方米的，得20分；每少10平方米扣1分，</w:t>
            </w:r>
            <w:r>
              <w:rPr>
                <w:rStyle w:val="12"/>
                <w:rFonts w:hint="eastAsia" w:ascii="仿宋_GB2312" w:hAnsi="仿宋_GB2312" w:eastAsia="仿宋_GB2312" w:cs="仿宋_GB2312"/>
                <w:color w:val="auto"/>
                <w:sz w:val="24"/>
                <w:szCs w:val="24"/>
                <w:lang w:val="en-US" w:eastAsia="zh-CN" w:bidi="ar"/>
              </w:rPr>
              <w:t>&lt;30</w:t>
            </w:r>
            <w:r>
              <w:rPr>
                <w:rStyle w:val="9"/>
                <w:rFonts w:hint="eastAsia" w:ascii="仿宋_GB2312" w:hAnsi="仿宋_GB2312" w:eastAsia="仿宋_GB2312" w:cs="仿宋_GB2312"/>
                <w:color w:val="auto"/>
                <w:sz w:val="24"/>
                <w:szCs w:val="24"/>
                <w:lang w:val="en-US" w:eastAsia="zh-CN" w:bidi="ar"/>
              </w:rPr>
              <w:t>平方米不得分。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52" w:hRule="atLeast"/>
          <w:jc w:val="center"/>
        </w:trPr>
        <w:tc>
          <w:tcPr>
            <w:tcW w:w="425" w:type="pct"/>
            <w:vMerge w:val="restart"/>
            <w:tcBorders>
              <w:top w:val="single" w:color="000000" w:sz="4" w:space="0"/>
              <w:left w:val="single" w:color="000000" w:sz="4" w:space="0"/>
              <w:right w:val="nil"/>
            </w:tcBorders>
            <w:noWrap w:val="0"/>
            <w:vAlign w:val="center"/>
          </w:tcPr>
          <w:p>
            <w:r>
              <w:rPr>
                <w:rFonts w:hint="eastAsia" w:ascii="仿宋_GB2312" w:hAnsi="仿宋_GB2312" w:eastAsia="仿宋_GB2312" w:cs="仿宋_GB2312"/>
                <w:i w:val="0"/>
                <w:iCs w:val="0"/>
                <w:color w:val="auto"/>
                <w:kern w:val="0"/>
                <w:sz w:val="24"/>
                <w:szCs w:val="24"/>
                <w:u w:val="none"/>
                <w:lang w:val="en-US" w:eastAsia="zh-CN" w:bidi="ar"/>
              </w:rPr>
              <w:t>一、基本标准（165分）</w:t>
            </w:r>
          </w:p>
          <w:p>
            <w:pPr>
              <w:jc w:val="center"/>
              <w:rPr>
                <w:rFonts w:hint="eastAsia" w:ascii="仿宋_GB2312" w:hAnsi="仿宋_GB2312" w:eastAsia="仿宋_GB2312" w:cs="仿宋_GB2312"/>
                <w:i w:val="0"/>
                <w:iCs w:val="0"/>
                <w:color w:val="auto"/>
                <w:sz w:val="24"/>
                <w:szCs w:val="24"/>
                <w:u w:val="none"/>
              </w:rPr>
            </w:pP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（五）设备配备</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b/>
                <w:bCs/>
                <w:i w:val="0"/>
                <w:iCs w:val="0"/>
                <w:color w:val="auto"/>
                <w:kern w:val="0"/>
                <w:sz w:val="24"/>
                <w:szCs w:val="24"/>
                <w:u w:val="none"/>
                <w:lang w:val="en-US" w:eastAsia="zh-CN" w:bidi="ar"/>
              </w:rPr>
              <w:t>★</w:t>
            </w:r>
            <w:r>
              <w:rPr>
                <w:rFonts w:hint="eastAsia" w:ascii="仿宋_GB2312" w:hAnsi="仿宋_GB2312" w:eastAsia="仿宋_GB2312" w:cs="仿宋_GB2312"/>
                <w:i w:val="0"/>
                <w:iCs w:val="0"/>
                <w:color w:val="auto"/>
                <w:kern w:val="0"/>
                <w:sz w:val="24"/>
                <w:szCs w:val="24"/>
                <w:u w:val="none"/>
                <w:lang w:val="en-US" w:eastAsia="zh-CN" w:bidi="ar"/>
              </w:rPr>
              <w:t>设备达到相应医院基本标准。</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按相应医院基本标准查以下设备：</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1、基本设备；</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2、开展的专科相应的设备。</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设备配备符合《一级中医医院医疗机构基本标准》并能正常使用计算，按照以下情形计分：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（一） 基本设备和病房每床单元设备，配备符合《一级中医医院医疗机构基本标准》并能正常使用，得15分；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每少1个设备配备不符合《一级中医医院医疗机构基本标准》或不能正常使用的，扣1分，扣完为止。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（二）专科设备，每少一个科室的设备配备不符合或不能正常使用，扣2分，扣完为止。</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7" w:hRule="atLeast"/>
          <w:jc w:val="center"/>
        </w:trPr>
        <w:tc>
          <w:tcPr>
            <w:tcW w:w="42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（六）规章制度</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b/>
                <w:bCs/>
                <w:i w:val="0"/>
                <w:iCs w:val="0"/>
                <w:color w:val="auto"/>
                <w:kern w:val="0"/>
                <w:sz w:val="24"/>
                <w:szCs w:val="24"/>
                <w:u w:val="none"/>
                <w:lang w:val="en-US" w:eastAsia="zh-CN" w:bidi="ar"/>
              </w:rPr>
              <w:t>★</w:t>
            </w:r>
            <w:r>
              <w:rPr>
                <w:rFonts w:hint="eastAsia" w:ascii="仿宋_GB2312" w:hAnsi="仿宋_GB2312" w:eastAsia="仿宋_GB2312" w:cs="仿宋_GB2312"/>
                <w:i w:val="0"/>
                <w:iCs w:val="0"/>
                <w:color w:val="auto"/>
                <w:kern w:val="0"/>
                <w:sz w:val="24"/>
                <w:szCs w:val="24"/>
                <w:u w:val="none"/>
                <w:lang w:val="en-US" w:eastAsia="zh-CN" w:bidi="ar"/>
              </w:rPr>
              <w:t>制订各项规章制度、人员岗位责任制，有国家制定或认可的医疗护理技术操作规程，并成册可用。</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查阅相关制度及有关医疗护理技术操作规范、常规等资料</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①有人员岗位职责得2分，否则不得分；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②有国家制定或认可的医疗技术操作规程、诊疗规范、管理规定齐全并装订成册的，得5分，每少1个技术的扣1分，扣完为止；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③有国家制定或认可的护理技术操作规程、诊疗规范、管理规定齐全并装订成册的，得5分，每少1个技术的扣1分，扣完为止；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④有应急、消防、行风管理规定齐全并装订成册的，得3分，每一项有缺漏的扣1分，扣完为止。</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20" w:hRule="atLeast"/>
          <w:jc w:val="center"/>
        </w:trPr>
        <w:tc>
          <w:tcPr>
            <w:tcW w:w="425" w:type="pc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二、医院管理（245分）</w:t>
            </w: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（一）依法执业（80分）</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1.医疗机构应按期申请执业校验。</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核查医疗机构是否按期申请执业校验。</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 xml:space="preserve">①在校验期满前1-3个月申请执业校验的，得10分。                 </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②在校验期满前0-1个月申请执业校验的，得6分。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③在校验期满后≤20日内申请执业校验的，得2分。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④在校验期满后&gt;20日内申请执业校验的，得0分。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80" w:hRule="atLeast"/>
          <w:jc w:val="center"/>
        </w:trPr>
        <w:tc>
          <w:tcPr>
            <w:tcW w:w="425"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二、医院管理（245分）</w:t>
            </w:r>
          </w:p>
        </w:tc>
        <w:tc>
          <w:tcPr>
            <w:tcW w:w="457"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（一）依法执业（80分）</w:t>
            </w:r>
          </w:p>
        </w:tc>
        <w:tc>
          <w:tcPr>
            <w:tcW w:w="13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2.医疗机构应按核准登记的项目进行执业。</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核查开设的科室、血透机等情况。</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①未在走廊等非病房开设床位的（突发公共卫生事件或灾难性事件救治等特殊原因除外），得3分；否则，每1个临床科室（病区）在走廊等非病房开设床位的扣1分，扣完为止。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②诊疗活动未超出登记的诊疗科目范围的，得5分；否则每1个诊疗活动超出登记的诊疗科目范围的扣2分，扣完为止。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w:t>
            </w:r>
            <w:r>
              <w:rPr>
                <w:rFonts w:hint="eastAsia" w:ascii="仿宋_GB2312" w:hAnsi="仿宋_GB2312" w:eastAsia="仿宋_GB2312" w:cs="仿宋_GB2312"/>
                <w:i w:val="0"/>
                <w:iCs w:val="0"/>
                <w:color w:val="auto"/>
                <w:spacing w:val="-6"/>
                <w:kern w:val="0"/>
                <w:sz w:val="24"/>
                <w:szCs w:val="24"/>
                <w:u w:val="none"/>
                <w:lang w:val="en-US" w:eastAsia="zh-CN" w:bidi="ar"/>
              </w:rPr>
              <w:t>血液透析室的血液透析机数量与核准登记数量一致的，得2分，否则，超过1台透析机扣1分，扣完为止。</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40" w:hRule="atLeast"/>
          <w:jc w:val="center"/>
        </w:trPr>
        <w:tc>
          <w:tcPr>
            <w:tcW w:w="425" w:type="pct"/>
            <w:vMerge w:val="continue"/>
            <w:tcBorders>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3.医疗机构名称应规范。</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核查医疗机构牌匾、印章等，核准名称是否与医疗机构执业许可证一致。</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医疗机构按照规定命名的，得10分，否则按以下情形扣分：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①医疗机构有两个或者两个以上名称的，除第一名称外，其他名称未在《医疗机构执业许可证》副本备注栏予以标注的，扣2分。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②分院区登记名称未按照“主院区名称+识别名+院区/分院”命名的，扣2分。（除符合条件的分院区和国家层面推动的区域医疗中心建设项目单位外，其他非分院区的医院不允许按照此格式命名）</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③医疗集团、医联体、医院托管、对口支援等合作模式的成员单位以“某某医院+识别名+院区/分院/医院”形式命名得，扣1分。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④未经批准，医疗机构名称以“中心”等冠名的，每发现1个扣1分。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⑤其他名称使用不规范情形，扣1分。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⑥未按医疗机构执业许可证核准的医疗机构名称悬挂牌匾得，扣1分。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03" w:hRule="atLeast"/>
          <w:jc w:val="center"/>
        </w:trPr>
        <w:tc>
          <w:tcPr>
            <w:tcW w:w="425" w:type="pct"/>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二、医院管理（245分）</w:t>
            </w:r>
          </w:p>
        </w:tc>
        <w:tc>
          <w:tcPr>
            <w:tcW w:w="457"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（一）依法执业（80分）</w:t>
            </w:r>
          </w:p>
        </w:tc>
        <w:tc>
          <w:tcPr>
            <w:tcW w:w="13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★4.不良执业行为记分情况。</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核查医疗机构校验周期内的不良执业行为记分情况。</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校验周期内无医疗机构不良执业行为扣分的，得10分，否则按以下情形计分：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①校验期每年不良执业行为记分在0-4分的，得8分；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②校验期每年不良执业行为记分在4-8分的，得5分；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③校验期每年不良执业行为记分在8-12分的，得2分。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17" w:hRule="atLeast"/>
          <w:jc w:val="center"/>
        </w:trPr>
        <w:tc>
          <w:tcPr>
            <w:tcW w:w="425" w:type="pct"/>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5.卫生技术人员应依法执业。</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对照值班表或处方、医嘱，核查医师执业证书、护士执业证书及其他岗位证书。</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按规定使用卫生技术人员从事相应的诊疗活动的，得10分，否则按以下情形扣分，扣完为止：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①使用不具有医学专业学历且未取得卫生技术人员资格或者职称的人员从事诊疗、临床护理活动的，每人扣1分。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②使用医学院校实习生或者具有医学专业学历但尚未取得相应资格的人员独立从事诊疗、临床护理活动的，每人扣1分。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③使用取得相应资格但未经注册（备案）在非本医疗机构的医师或者护士独立从事诊疗、临床护理活动的，每人扣1分。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④使用定期考核不合格的医师独立从事诊疗活动的、有效期届满未延续注册的护士独立从事临床护理活动的、卫生技术人员独立从事本专业以外诊疗活动的，每人扣1分。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0" w:hRule="atLeast"/>
          <w:jc w:val="center"/>
        </w:trPr>
        <w:tc>
          <w:tcPr>
            <w:tcW w:w="425"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二、医院管理（245分）</w:t>
            </w:r>
          </w:p>
        </w:tc>
        <w:tc>
          <w:tcPr>
            <w:tcW w:w="457"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（一）依法执业（80分）</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6.按规定办理《放射诊疗许可证》。</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核查医疗机构的放射诊疗设备情况。</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按规定办理《放射诊疗许可证》的，得10分，否则按以下情形扣分，扣完为止：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①使用放射诊疗设备但未办理《放射诊疗许可证》或未按期申请《放射诊疗许可证》校验，扣10分。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②使用的放射诊疗设备未登记的，每台扣1分。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③登记的放射诊疗设备及其工作场所未按规定进行年度防护、性能检测的，每台设备或场所扣1分。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jc w:val="center"/>
        </w:trPr>
        <w:tc>
          <w:tcPr>
            <w:tcW w:w="42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7.大型医用设备配备符合规定。</w:t>
            </w:r>
          </w:p>
        </w:tc>
        <w:tc>
          <w:tcPr>
            <w:tcW w:w="602"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核查医疗机构的大型医用设备配置许可证。</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甲乙类大型医用设备按规定配置许可证的，得5分，否则不得分。</w:t>
            </w:r>
          </w:p>
        </w:tc>
        <w:tc>
          <w:tcPr>
            <w:tcW w:w="267" w:type="pct"/>
            <w:vMerge w:val="restar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42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仿宋_GB2312" w:hAnsi="仿宋_GB2312" w:eastAsia="仿宋_GB2312" w:cs="仿宋_GB2312"/>
                <w:i w:val="0"/>
                <w:iCs w:val="0"/>
                <w:color w:val="auto"/>
                <w:sz w:val="24"/>
                <w:szCs w:val="24"/>
                <w:u w:val="none"/>
              </w:rPr>
            </w:pPr>
          </w:p>
        </w:tc>
        <w:tc>
          <w:tcPr>
            <w:tcW w:w="602"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both"/>
              <w:rPr>
                <w:rFonts w:hint="eastAsia" w:ascii="仿宋_GB2312" w:hAnsi="仿宋_GB2312" w:eastAsia="仿宋_GB2312" w:cs="仿宋_GB2312"/>
                <w:i w:val="0"/>
                <w:iCs w:val="0"/>
                <w:color w:val="auto"/>
                <w:sz w:val="24"/>
                <w:szCs w:val="24"/>
                <w:u w:val="none"/>
              </w:rPr>
            </w:pP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已使用甲类、乙类大型医用设备按规定进行设备信息登记的，得5分，否则未备案的每台设备扣1分，扣完为止。</w:t>
            </w:r>
          </w:p>
        </w:tc>
        <w:tc>
          <w:tcPr>
            <w:tcW w:w="267"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_GB2312" w:hAnsi="仿宋_GB2312" w:eastAsia="仿宋_GB2312" w:cs="仿宋_GB2312"/>
                <w:i w:val="0"/>
                <w:iCs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425" w:type="pct"/>
            <w:vMerge w:val="continue"/>
            <w:tcBorders>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1302"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8.开展母婴保健技术服务的医疗机构应持有有效的《母婴保健技术服务执业许可证》，人员持有相应证书。</w:t>
            </w:r>
          </w:p>
        </w:tc>
        <w:tc>
          <w:tcPr>
            <w:tcW w:w="602"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核查《母婴保健技术执业服务许可证》，看是否按批准的项目执业；查看对照值班表和处方、医嘱，核查人员相关证件。</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取得批准并按许可证登记项目开展母婴保健技术服务的，得5分，否则该项不得分。</w:t>
            </w:r>
          </w:p>
        </w:tc>
        <w:tc>
          <w:tcPr>
            <w:tcW w:w="267" w:type="pct"/>
            <w:vMerge w:val="restar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80" w:hRule="atLeast"/>
          <w:jc w:val="center"/>
        </w:trPr>
        <w:tc>
          <w:tcPr>
            <w:tcW w:w="42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仿宋_GB2312" w:hAnsi="仿宋_GB2312" w:eastAsia="仿宋_GB2312" w:cs="仿宋_GB2312"/>
                <w:i w:val="0"/>
                <w:iCs w:val="0"/>
                <w:color w:val="auto"/>
                <w:sz w:val="24"/>
                <w:szCs w:val="24"/>
                <w:u w:val="none"/>
              </w:rPr>
            </w:pPr>
          </w:p>
        </w:tc>
        <w:tc>
          <w:tcPr>
            <w:tcW w:w="602"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both"/>
              <w:rPr>
                <w:rFonts w:hint="eastAsia" w:ascii="仿宋_GB2312" w:hAnsi="仿宋_GB2312" w:eastAsia="仿宋_GB2312" w:cs="仿宋_GB2312"/>
                <w:i w:val="0"/>
                <w:iCs w:val="0"/>
                <w:color w:val="auto"/>
                <w:sz w:val="24"/>
                <w:szCs w:val="24"/>
                <w:u w:val="none"/>
              </w:rPr>
            </w:pP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人员按规定取得母婴保健技术服务资格，从事母婴保健技术服务工作的，得5分，否则每一人未取得资格证的扣1分，扣完为止。</w:t>
            </w:r>
          </w:p>
        </w:tc>
        <w:tc>
          <w:tcPr>
            <w:tcW w:w="267" w:type="pct"/>
            <w:vMerge w:val="continue"/>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仿宋_GB2312" w:hAnsi="仿宋_GB2312" w:eastAsia="仿宋_GB2312" w:cs="仿宋_GB2312"/>
                <w:i w:val="0"/>
                <w:iCs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jc w:val="center"/>
        </w:trPr>
        <w:tc>
          <w:tcPr>
            <w:tcW w:w="42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（二）组织管理（30分）</w:t>
            </w:r>
          </w:p>
        </w:tc>
        <w:tc>
          <w:tcPr>
            <w:tcW w:w="13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1.医院应有健全的科学管理体系，医院领导职责分工明确。</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查医院领导正、副职分工文件。</w:t>
            </w:r>
          </w:p>
        </w:tc>
        <w:tc>
          <w:tcPr>
            <w:tcW w:w="194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有领导职责分工相关文件的，得10分，否则不得分。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60" w:hRule="atLeast"/>
          <w:jc w:val="center"/>
        </w:trPr>
        <w:tc>
          <w:tcPr>
            <w:tcW w:w="425" w:type="pct"/>
            <w:vMerge w:val="restart"/>
            <w:tcBorders>
              <w:top w:val="single" w:color="000000" w:sz="4" w:space="0"/>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二、医院管理（245分）</w:t>
            </w:r>
          </w:p>
        </w:tc>
        <w:tc>
          <w:tcPr>
            <w:tcW w:w="457" w:type="pct"/>
            <w:vMerge w:val="restart"/>
            <w:tcBorders>
              <w:top w:val="single" w:color="000000" w:sz="4" w:space="0"/>
              <w:left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highlight w:val="none"/>
                <w:u w:val="none"/>
                <w:lang w:val="en-US" w:eastAsia="zh-CN" w:bidi="ar"/>
              </w:rPr>
              <w:t>（二）组织管理（30分）</w:t>
            </w:r>
          </w:p>
        </w:tc>
        <w:tc>
          <w:tcPr>
            <w:tcW w:w="13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2.医院实行目标管理，并制定中、长期发展规划和年度计划；做好执行计划的协调、检查、考核与评价。</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查医院发展规划、周期内年度计划和总结，计划完成评价。</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有中、长期发展规划和年度计划的，得10分，否则按一下情形扣分：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①缺中长期规划的，扣4分；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②缺年度计划的，扣4分；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③未做好执行计划的协调、检查、考核评价的扣2分；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④材料全无扣10分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0" w:hRule="atLeast"/>
          <w:jc w:val="center"/>
        </w:trPr>
        <w:tc>
          <w:tcPr>
            <w:tcW w:w="42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3.完善综合评价体系, 体现中医特点，建立以中医临床疗效为核心、以服务能力与绩效为基础的考核和激励制度。</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随机抽查1个科室考评方案及绩效分配方案</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spacing w:val="-6"/>
                <w:kern w:val="0"/>
                <w:sz w:val="24"/>
                <w:szCs w:val="24"/>
                <w:u w:val="none"/>
                <w:lang w:val="en-US" w:eastAsia="zh-CN" w:bidi="ar"/>
              </w:rPr>
              <w:t>科室综合考核目标中体现中医药、民族医药特色优势和提高临床疗效指标的，得10分；否则按以下情形扣分：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①指标不具体,或未实施的，扣3分；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②部分实施的,扣1分；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③未实行绩效工资管理，不得分；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④考核结果未体现在科室分配方案中，每个科扣1分；部分体现,每个科室扣0.5分。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jc w:val="center"/>
        </w:trPr>
        <w:tc>
          <w:tcPr>
            <w:tcW w:w="42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（三）信息管理（30分）</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1.设立相应的信息管理部门，包括病案室、统计室、图书室等；医院信息（包括医疗、病案统计、财务、人事、药库和图书情报等信息）实现信息化管理。</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查医院设置文件并现场检查，查信息化实施情况。</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相关部门实现信息化管理的，得10分，否则按以下情形扣分：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①缺1个部门，每个扣0.5分；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②未实行信息化管理扣10分。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42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2.病案及时归档，按自治区卫生行政部门现行要求进行编码，无丢失等现象。</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 xml:space="preserve"> 现场检查病案科（室）、抽查10份以上病案。</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病案及时归档并编码的，得10分，否则按以下情形扣分：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①发现一份病案有缺项的，扣1分，扣完为止；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②不按规定编码、无病历归档管理记录不得分。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jc w:val="center"/>
        </w:trPr>
        <w:tc>
          <w:tcPr>
            <w:tcW w:w="42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3.各种统计、分析、编码及信息必须采用国家和部颁标准；数据真实，完整、准确，并及时得到分析、反馈与利用。</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查周期内各年度信息报表和信息工作总结。</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按标准统计、分析、数据并且真实完整的，得10分，否则，未按照标准统计、分析、编码的扣5分，数据不准、完整、真实的扣5分。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0" w:hRule="atLeast"/>
          <w:jc w:val="center"/>
        </w:trPr>
        <w:tc>
          <w:tcPr>
            <w:tcW w:w="425"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二、医院管理（245分）</w:t>
            </w:r>
          </w:p>
        </w:tc>
        <w:tc>
          <w:tcPr>
            <w:tcW w:w="457"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（四）财务管理（30分）</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1.严格执行国家颁发的财务制度，加强财经纪律，无重大违反财经制度事件发生。</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咨询审计等相关部门，查年度财务计划及结算报告，以及周期内被上级及相关管理部门处罚情况。</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严格执行国家颁发的财务制度且无重大违反财经制度事件发生的，得10分，否则按一下情形扣分：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①财务制度每缺1项，扣3分；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②有重大违反财务制度事件发生的（以卫生行政部门、审计部门、财政部门等有关部门通报为准），不得分。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jc w:val="center"/>
        </w:trPr>
        <w:tc>
          <w:tcPr>
            <w:tcW w:w="42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2.严格执行收费标准，医疗服务项目主动公开、公开医保支付目录，执行住院费用清单制度。</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查医院收费公布和收费查询情况，并抽查50张以上门诊和10份住院病历的收费情况。</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严格执行收费标准的，医疗服务项目主动公开、公开医保支付目录，执行住院费用清单制度，得20分，否则按以下情形扣分：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①医疗服务项目收费标准和医保支付目录不公开扣10分；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②抽查病历收费情况，发现1例收费不符标准扣2分；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③不设收费查询系统扣5分；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④不提供患者住院清单扣3分。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0" w:hRule="atLeast"/>
          <w:jc w:val="center"/>
        </w:trPr>
        <w:tc>
          <w:tcPr>
            <w:tcW w:w="42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（五）安全管理（50分）</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1.有健全的医院安全保卫管理组织、制度、措施和定期检查评价。</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查组织机构、相关文件和记录</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有健全的医院安全保卫管理组织、制度、措施并定期检查评价的，得10分，否则按以下情形扣分：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①缺管理组织的，扣3分；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②缺制度的，扣3分；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③缺措施的，扣3分；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④缺定期检查评价的，扣1分。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jc w:val="center"/>
        </w:trPr>
        <w:tc>
          <w:tcPr>
            <w:tcW w:w="42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2.易发生危险的设备及部门有特殊的管理措施，如高压力系统、高压氧舱、氧气供应室、危险品仓库、同位素室、配电室、手术室、细菌室等。</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查相关管理制度、措施、记录。</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有完整的危险设备及特殊部门管理措施的，得10分，否则按以下情形扣分：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①缺制度措施扣5分；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②制度不健全扣2分；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③无相应管理记录的扣5分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jc w:val="center"/>
        </w:trPr>
        <w:tc>
          <w:tcPr>
            <w:tcW w:w="425"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二、医院管理（245分）</w:t>
            </w:r>
          </w:p>
        </w:tc>
        <w:tc>
          <w:tcPr>
            <w:tcW w:w="457" w:type="pct"/>
            <w:vMerge w:val="restart"/>
            <w:tcBorders>
              <w:top w:val="single" w:color="000000" w:sz="4" w:space="0"/>
              <w:left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（五）安全管理（50分）</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★3.消防设备齐全，标志醒目，设备状况良好，定期检查更换，使用方便，安全疏散路线畅通，有消防部门检测合格证书。</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现场检查并查验证书。</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消防设备齐全、标志醒目，设备状况良好，安全疏散路线畅通且有消防部门检测合格证书的，得10分，否则按以下情形扣分：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①消防设备不齐的，扣3分；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②安全疏散路线有阻碍的，扣3分；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③无检测合格证书的，扣8分。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jc w:val="center"/>
        </w:trPr>
        <w:tc>
          <w:tcPr>
            <w:tcW w:w="42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★4.严格执行医疗用毒性药品、麻醉药品、精神药品管理制度，做到专人负责、专柜加锁、专用账册、专用处方、专册登记；无毒麻药品丢失现象。</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查管理制度、使用情况及其记录。</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有毒麻、精神药品管理制度且专人负责、专柜加锁、专用账册、专用处方、专册登记，无药品丢失情况的，得20分；否则按以下情形扣分：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①管理制度、专人负责、专柜加锁、专用账册、专用处方、专册登记，缺1项扣3分；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②有毒麻药品丢失现象该项不得分。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jc w:val="center"/>
        </w:trPr>
        <w:tc>
          <w:tcPr>
            <w:tcW w:w="425" w:type="pct"/>
            <w:vMerge w:val="continue"/>
            <w:tcBorders>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457"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（六）环境管理（20分）</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1.执行《无烟医疗卫生机构标准（试行）》、院区保持清洁干净，道路硬化，环境舒适。</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检查院内环境卫生情况。</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有禁烟标识且院区清洁干净、道路安全、环境舒适的，得10分，否则按以下情形扣分，扣完为止：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①无禁烟标识的，扣5分；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②院区卫生差乱、环境不舒适的，扣2分；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③院区道路有不安全隐患的，扣1分。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42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2.按照《医疗废物管理条例》等要求，规范处理医疗废物与污水。健全污水、污物、放射性物质等管理制度，医疗废物处理和污水排放符合有关规定。</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查阅相关制度、检测记录，并现场检查</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1.无医疗废物（包括污水处理）管理制度与处理规范，扣10分；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2.医疗废物处理不符合规定，存在收集、打包、运送、交接、贮存、记录等不规范，每项扣3分；未签署医疗废弃物处理合同扣5分；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3.</w:t>
            </w:r>
            <w:r>
              <w:rPr>
                <w:rFonts w:hint="eastAsia" w:ascii="仿宋_GB2312" w:hAnsi="仿宋_GB2312" w:eastAsia="仿宋_GB2312" w:cs="仿宋_GB2312"/>
                <w:i w:val="0"/>
                <w:iCs w:val="0"/>
                <w:color w:val="auto"/>
                <w:spacing w:val="-6"/>
                <w:kern w:val="0"/>
                <w:sz w:val="24"/>
                <w:szCs w:val="24"/>
                <w:u w:val="none"/>
                <w:lang w:val="en-US" w:eastAsia="zh-CN" w:bidi="ar"/>
              </w:rPr>
              <w:t>医疗废弃物暂存站或（处）设置不符合要求，扣5分。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4.污水排放不符合规定的，扣5分；未提供环保部定期出具的污水监测合格报告，扣5分；污水监测资料不完整，一处扣2分。扣完为止。</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jc w:val="center"/>
        </w:trPr>
        <w:tc>
          <w:tcPr>
            <w:tcW w:w="425"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三、临床科室（200分）</w:t>
            </w:r>
          </w:p>
        </w:tc>
        <w:tc>
          <w:tcPr>
            <w:tcW w:w="457"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（一）人员结构（35分）</w:t>
            </w:r>
          </w:p>
        </w:tc>
        <w:tc>
          <w:tcPr>
            <w:tcW w:w="13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1.临床科室负责人（口腔科、麻醉科、产科、心外科、神经外科除外）应有具备</w:t>
            </w:r>
            <w:r>
              <w:rPr>
                <w:rStyle w:val="23"/>
                <w:rFonts w:hint="eastAsia" w:ascii="仿宋_GB2312" w:hAnsi="仿宋_GB2312" w:eastAsia="仿宋_GB2312" w:cs="仿宋_GB2312"/>
                <w:color w:val="auto"/>
                <w:sz w:val="24"/>
                <w:szCs w:val="24"/>
                <w:lang w:val="en-US" w:eastAsia="zh-CN" w:bidi="ar"/>
              </w:rPr>
              <w:t>中级</w:t>
            </w:r>
            <w:r>
              <w:rPr>
                <w:rFonts w:hint="eastAsia" w:ascii="仿宋_GB2312" w:hAnsi="仿宋_GB2312" w:eastAsia="仿宋_GB2312" w:cs="仿宋_GB2312"/>
                <w:i w:val="0"/>
                <w:iCs w:val="0"/>
                <w:color w:val="auto"/>
                <w:kern w:val="0"/>
                <w:sz w:val="24"/>
                <w:szCs w:val="24"/>
                <w:u w:val="none"/>
                <w:lang w:val="en-US" w:eastAsia="zh-CN" w:bidi="ar"/>
              </w:rPr>
              <w:t>以上专业技术职务任职资格、从事相关专业工作5年以上的中医类别执业医师。</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抽查1个科室负责人资质证明</w:t>
            </w:r>
          </w:p>
        </w:tc>
        <w:tc>
          <w:tcPr>
            <w:tcW w:w="194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科室负责人符合资质要求的，得10分，否则一人不符扣2分，扣完为止。</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42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2.开设病区的临床科室医师构成合理;专业人才形成梯队，医师配备数量与科室床位数相适应。</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查阅人事档案及相关证明材料。</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核查科室卫生技术人员配备情况符合要求的，得10分，不符合要求或配备不合理，每个科室扣2分，扣完为止。</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0" w:hRule="atLeast"/>
          <w:jc w:val="center"/>
        </w:trPr>
        <w:tc>
          <w:tcPr>
            <w:tcW w:w="42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3.科室医务人员均应接受过中医专门训练，掌握中医学和专科的基本理论、基础知识和基本操作技能。</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抽查1个科室培训记录</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科室医务人员接受过中医训练的，得15分；否则一个科室不符的扣3分，扣完为止</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00" w:hRule="atLeast"/>
          <w:jc w:val="center"/>
        </w:trPr>
        <w:tc>
          <w:tcPr>
            <w:tcW w:w="42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（二）诊疗技术（65分）</w:t>
            </w:r>
          </w:p>
        </w:tc>
        <w:tc>
          <w:tcPr>
            <w:tcW w:w="13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制订病种诊疗常规、操作规程，建立、实施、评估和改进流程。技术应用符合医院感染控制、医疗质量控制规范，定期考核、评估。对于科室长期应用、疗效显著的中医医疗技术及时进行总结完善，并加以推广。</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抽查1个科室诊疗常规、操作规程、技术目录、应用推广记录等</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科室有诊疗常规、操作规程、技术目录、应用推广记录的，得10分；否则按以下情形扣分：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①材料缺一项扣1分/科，扣完为止；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②无相关材料扣2分/科，扣完为止。</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0" w:hRule="atLeast"/>
          <w:jc w:val="center"/>
        </w:trPr>
        <w:tc>
          <w:tcPr>
            <w:tcW w:w="42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2.制定中医诊疗技术规范、操作规程，探索中医新技术、新方法，总结简便易行、安全有效的诊疗技术。</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抽查1个科室中医诊疗新技术目录及审批档案资料、技术规范、操作规程</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科室制定有中医诊疗技术规范、操作规程的，得5分，否则按以下情形扣分：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①缺一项扣1分/科，扣完为止；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②无相关材料扣2分/科，扣完为止。</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54" w:hRule="atLeast"/>
          <w:jc w:val="center"/>
        </w:trPr>
        <w:tc>
          <w:tcPr>
            <w:tcW w:w="425" w:type="pct"/>
            <w:vMerge w:val="restart"/>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三、临床科室（200分）</w:t>
            </w:r>
          </w:p>
        </w:tc>
        <w:tc>
          <w:tcPr>
            <w:tcW w:w="457"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（二）诊疗技术（65分）</w:t>
            </w:r>
          </w:p>
        </w:tc>
        <w:tc>
          <w:tcPr>
            <w:tcW w:w="13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3.严格执行《中医病历书写基本规范》和《中医电子病历基本规范（试行）》，中药处方格式及书写符合相关规定。</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10份以上门诊、住院病历、处方；现场检查病案科。</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病历书写、中药处方开具符合相关规定无误的，得20分，否则按以下情形扣分：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①病历书写不符合书写规范一例扣2分，扣完为止；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②处方书写不规范一例扣0.5分，扣完为止。</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62" w:hRule="atLeast"/>
          <w:jc w:val="center"/>
        </w:trPr>
        <w:tc>
          <w:tcPr>
            <w:tcW w:w="425" w:type="pct"/>
            <w:vMerge w:val="continue"/>
            <w:tcBorders>
              <w:top w:val="single" w:color="000000" w:sz="4" w:space="0"/>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457"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4.中医医院的门诊中医药治疗率不低于85%，病房中医药治疗率不低于70%。</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查看上年度绩效考核填报系统数据、上一年度医院处方、医疗机构制剂备案名录、医院门诊分科统计表等</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after="180" w:afterAutospacing="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①门诊中医药治疗率≥85%，得15分；:30-85%，得3分；≤30%，得0分。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②病房中医药治疗率≥70%，得15分；15-70%，得3分；≤15%，得0分。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42" w:hRule="atLeast"/>
          <w:jc w:val="center"/>
        </w:trPr>
        <w:tc>
          <w:tcPr>
            <w:tcW w:w="425" w:type="pct"/>
            <w:vMerge w:val="continue"/>
            <w:tcBorders>
              <w:top w:val="single" w:color="000000" w:sz="4" w:space="0"/>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（三）服务能力（10分）</w:t>
            </w:r>
          </w:p>
        </w:tc>
        <w:tc>
          <w:tcPr>
            <w:tcW w:w="13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制定有各科室相适应的中医优势病种诊疗方案、护理常规、技术操作规范并定期优化；按规范要求开展医疗护理工作。</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抽查5个科室的优势病种材料，</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制定有中医优势病种诊疗方案、护理常规、技术操作规范的，得10分，否则按以下情形扣分：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①材料不全扣1分/科，</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②无材料扣2分/科</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60" w:hRule="atLeast"/>
          <w:jc w:val="center"/>
        </w:trPr>
        <w:tc>
          <w:tcPr>
            <w:tcW w:w="425"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三、临床科室（200分）</w:t>
            </w:r>
          </w:p>
        </w:tc>
        <w:tc>
          <w:tcPr>
            <w:tcW w:w="457"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（四）医疗质量（45分）</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1.严格执行确保医疗质量和医疗安全的核心制度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 xml:space="preserve">（1）首诊负责制             </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（2）医师查房制度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（3）疑难病例讨论制度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（4）会诊制度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（5）急危重患者抢救制度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（6）手术分级管理制度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（7）术前讨论制度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（8）死亡病例讨论制度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（9）值班和交接班制度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（10）查对制度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（11）病历管理制度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（12）临床用血审核制度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（13）分级护理制度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（14）手术安全核查制度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（15）新技术和新项目准入制度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（16）危急值报告制度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（17）抗菌药物分级管理制度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（18）信息安全管理制度</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5个科室病历及病区记录本（疑难病例讨论、死亡病例讨论、交接斑登记、危重病人抢救登记、会诊登记、危急值登记本）；现场检查核心制度执行状况；抽查2位医务人员了解其对核心制度的知晓度和执行力。</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核心制度落实到位，科室记录本记录完整、医务人员对医疗核心制度掌握的，得20分，否则按以下情形扣分：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①落实不到位扣2分/科，每发现1项制度不落实扣4分，扣完为止；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②医务人员对核心制度掌握程度，不熟悉扣0.5分/人，不知晓扣1分/人。</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0" w:hRule="atLeast"/>
          <w:jc w:val="center"/>
        </w:trPr>
        <w:tc>
          <w:tcPr>
            <w:tcW w:w="425" w:type="pct"/>
            <w:vMerge w:val="continue"/>
            <w:tcBorders>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2.实施院科两级质量管理，院科二级质控组织健全、职责明确、运行记录完善，医院领导参加医疗质量管理。工作制度健全、工作记录规范可信。</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查阅院科二级资料，要求院科二级质控组织人员落实、责任明确、质控工作记录规范可信</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查看院级科级质量管理制度、工作记录，制度、工作记录完整的，得10分，否则按以下情形扣分：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①无制度或记录扣2分，无材料扣5分；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②抽查2个科室质量管理材料，材料不全扣1分/科，无材料扣2.5分/科</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jc w:val="center"/>
        </w:trPr>
        <w:tc>
          <w:tcPr>
            <w:tcW w:w="425"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三、临床科室（200分）</w:t>
            </w: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（四）医疗质量（45分）</w:t>
            </w:r>
          </w:p>
        </w:tc>
        <w:tc>
          <w:tcPr>
            <w:tcW w:w="13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3.加强不良事件管理，有制度流程，有定期总结，分析，对一二级不良事件及频发的三四级不良事件开展根因分析，对突发公共卫生事件（含放射事件，传染病疫情）要及时有效处理。</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查阅相关制度流程及总结分析记录。</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有不良事件管理制度并制定流程、定期总结、分析原因、及时上报的，得15分，否则按以下情形扣分：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①无制度流程扣5分；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②无定期总结分析扣5分；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③有重大不良事件及突发公共卫生事件瞒报情况不得分。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jc w:val="center"/>
        </w:trPr>
        <w:tc>
          <w:tcPr>
            <w:tcW w:w="42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（五）三基</w:t>
            </w:r>
          </w:p>
        </w:tc>
        <w:tc>
          <w:tcPr>
            <w:tcW w:w="13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掌握中医基础理论、基本知识与基本技能，对本科常见病、多发病、疑难病和急危重症中医诊断与鉴别诊断准确。</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随机抽取3名医师考核合格</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医师对知识掌握情况良好，得15分；否则按以下情形扣分：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①掌握不全扣2分/人；</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②不了解扣5分/人</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jc w:val="center"/>
        </w:trPr>
        <w:tc>
          <w:tcPr>
            <w:tcW w:w="42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（六）手术</w:t>
            </w:r>
          </w:p>
        </w:tc>
        <w:tc>
          <w:tcPr>
            <w:tcW w:w="13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实行手术医师资格准入制度和手术分级授权管理制度，建立定期手术医师资格和能力评价与再授权的机制。建立手术安全核查、风险评估制度与工作流程。</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w:t>
            </w:r>
          </w:p>
        </w:tc>
        <w:tc>
          <w:tcPr>
            <w:tcW w:w="194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抽查3项限制类技术手术备案情况，备案与手术分级相符得15分，否则扣5分/人，违背伦理或者伦理论证不合格开展的手术扣5分/例，开展禁止类手术不得分。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jc w:val="center"/>
        </w:trPr>
        <w:tc>
          <w:tcPr>
            <w:tcW w:w="42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（七）麻醉</w:t>
            </w:r>
          </w:p>
        </w:tc>
        <w:tc>
          <w:tcPr>
            <w:tcW w:w="13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制定麻醉医师资格分级授权管理制度与规范，及定期能力评价与再授权的机制，麻醉人员配备合理。</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w:t>
            </w:r>
          </w:p>
        </w:tc>
        <w:tc>
          <w:tcPr>
            <w:tcW w:w="194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抽查3名麻醉医师授权材料，符合要求的得15分，否则扣5分/人</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425"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四、药事管理（80分）</w:t>
            </w: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（一）医院药事管理组织</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是否定期对临床使用中药进行监督、评价和指导，合理遴选医疗机构内使用的中药。</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查阅评审周期相关资料，实地考查。</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成立药事管理与药物治疗学组并对临床使用中药进行监督、评价和指导，得5分，否则不得分。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42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（二）药房设置（26分）</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1.设有中药饮片库房、中药饮片调剂室、中成药库房、中成药调剂室、中药煎药室。</w:t>
            </w:r>
          </w:p>
        </w:tc>
        <w:tc>
          <w:tcPr>
            <w:tcW w:w="602"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查阅相关资料，实地考查。</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药房设置齐全，得6分，否则每少1个部门（组），扣</w:t>
            </w:r>
            <w:r>
              <w:rPr>
                <w:rStyle w:val="23"/>
                <w:rFonts w:hint="eastAsia" w:ascii="仿宋_GB2312" w:hAnsi="仿宋_GB2312" w:eastAsia="仿宋_GB2312" w:cs="仿宋_GB2312"/>
                <w:color w:val="auto"/>
                <w:sz w:val="24"/>
                <w:szCs w:val="24"/>
                <w:lang w:val="en-US" w:eastAsia="zh-CN" w:bidi="ar"/>
              </w:rPr>
              <w:t>1.2</w:t>
            </w:r>
            <w:r>
              <w:rPr>
                <w:rFonts w:hint="eastAsia" w:ascii="仿宋_GB2312" w:hAnsi="仿宋_GB2312" w:eastAsia="仿宋_GB2312" w:cs="仿宋_GB2312"/>
                <w:i w:val="0"/>
                <w:iCs w:val="0"/>
                <w:color w:val="auto"/>
                <w:kern w:val="0"/>
                <w:sz w:val="24"/>
                <w:szCs w:val="24"/>
                <w:u w:val="none"/>
                <w:lang w:val="en-US" w:eastAsia="zh-CN" w:bidi="ar"/>
              </w:rPr>
              <w:t>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jc w:val="center"/>
        </w:trPr>
        <w:tc>
          <w:tcPr>
            <w:tcW w:w="425"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四、药事管理（80分）</w:t>
            </w:r>
          </w:p>
        </w:tc>
        <w:tc>
          <w:tcPr>
            <w:tcW w:w="457"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（二）药房设置（26分）</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2.中药房应当远离各种污染源，中药饮片调剂室、中成药调剂室、中药煎药室应配备有效的通风、除尘、防积水以及消防等设施。</w:t>
            </w:r>
          </w:p>
        </w:tc>
        <w:tc>
          <w:tcPr>
            <w:tcW w:w="602"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both"/>
              <w:rPr>
                <w:rFonts w:hint="eastAsia" w:ascii="仿宋_GB2312" w:hAnsi="仿宋_GB2312" w:eastAsia="仿宋_GB2312" w:cs="仿宋_GB2312"/>
                <w:i w:val="0"/>
                <w:iCs w:val="0"/>
                <w:color w:val="auto"/>
                <w:sz w:val="24"/>
                <w:szCs w:val="24"/>
                <w:u w:val="none"/>
              </w:rPr>
            </w:pP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药房设置符合规范的，得4分，否则按以下情形扣分：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①中药房距各种污染源较近，扣1分；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②缺少有效的通风、除尘、防积水、消防设施，每少一种扣1分，扣完为止。</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jc w:val="center"/>
        </w:trPr>
        <w:tc>
          <w:tcPr>
            <w:tcW w:w="42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3.中成药调剂室、中药饮片调剂室面积应当与医院的规模和业务需求相适应。</w:t>
            </w:r>
          </w:p>
        </w:tc>
        <w:tc>
          <w:tcPr>
            <w:tcW w:w="602"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both"/>
              <w:rPr>
                <w:rFonts w:hint="eastAsia" w:ascii="仿宋_GB2312" w:hAnsi="仿宋_GB2312" w:eastAsia="仿宋_GB2312" w:cs="仿宋_GB2312"/>
                <w:i w:val="0"/>
                <w:iCs w:val="0"/>
                <w:color w:val="auto"/>
                <w:sz w:val="24"/>
                <w:szCs w:val="24"/>
                <w:u w:val="none"/>
              </w:rPr>
            </w:pP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各房屋面积符合要求的，得6分，否则按以下情形扣分，扣完为止：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w:t>
            </w:r>
            <w:r>
              <w:rPr>
                <w:rStyle w:val="23"/>
                <w:rFonts w:hint="eastAsia" w:ascii="仿宋_GB2312" w:hAnsi="仿宋_GB2312" w:eastAsia="仿宋_GB2312" w:cs="仿宋_GB2312"/>
                <w:color w:val="auto"/>
                <w:sz w:val="24"/>
                <w:szCs w:val="24"/>
                <w:lang w:val="en-US" w:eastAsia="zh-CN" w:bidi="ar"/>
              </w:rPr>
              <w:t>中成药和</w:t>
            </w:r>
            <w:r>
              <w:rPr>
                <w:rFonts w:hint="eastAsia" w:ascii="仿宋_GB2312" w:hAnsi="仿宋_GB2312" w:eastAsia="仿宋_GB2312" w:cs="仿宋_GB2312"/>
                <w:i w:val="0"/>
                <w:iCs w:val="0"/>
                <w:color w:val="auto"/>
                <w:kern w:val="0"/>
                <w:sz w:val="24"/>
                <w:szCs w:val="24"/>
                <w:u w:val="none"/>
                <w:lang w:val="en-US" w:eastAsia="zh-CN" w:bidi="ar"/>
              </w:rPr>
              <w:t>中药饮片调剂室面积与医院的规模和业务需求不相适应，每项扣1分。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jc w:val="center"/>
        </w:trPr>
        <w:tc>
          <w:tcPr>
            <w:tcW w:w="425" w:type="pct"/>
            <w:vMerge w:val="continue"/>
            <w:tcBorders>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4.中药房的设备（器具）应当与医院的规模和业务需求相适应。</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查阅相关资料，实地考查。</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设备（器具）与医院的规模和业务需求相适应，得2分，否则不得分。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0" w:hRule="atLeast"/>
          <w:jc w:val="center"/>
        </w:trPr>
        <w:tc>
          <w:tcPr>
            <w:tcW w:w="42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5.</w:t>
            </w:r>
            <w:r>
              <w:rPr>
                <w:rStyle w:val="13"/>
                <w:rFonts w:hint="eastAsia" w:ascii="仿宋_GB2312" w:hAnsi="仿宋_GB2312" w:eastAsia="仿宋_GB2312" w:cs="仿宋_GB2312"/>
                <w:color w:val="auto"/>
                <w:sz w:val="24"/>
                <w:szCs w:val="24"/>
                <w:lang w:val="en-US" w:eastAsia="zh-CN" w:bidi="ar"/>
              </w:rPr>
              <w:br w:type="textWrapping"/>
            </w:r>
            <w:r>
              <w:rPr>
                <w:rStyle w:val="23"/>
                <w:rFonts w:hint="eastAsia" w:ascii="仿宋_GB2312" w:hAnsi="仿宋_GB2312" w:eastAsia="仿宋_GB2312" w:cs="仿宋_GB2312"/>
                <w:color w:val="auto"/>
                <w:sz w:val="24"/>
                <w:szCs w:val="24"/>
                <w:lang w:val="en-US" w:eastAsia="zh-CN" w:bidi="ar"/>
              </w:rPr>
              <w:t>药学部门负责人应当应当符合相关的学历及专业技术职务任职要求。</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查阅中药房人事档案及相关证明文件</w:t>
            </w:r>
          </w:p>
        </w:tc>
        <w:tc>
          <w:tcPr>
            <w:tcW w:w="194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药学部门负责人应当具有高等学校药学专业专科以上或者中等学校药学专业毕业学历，及药师以上专业技术职务任职资格，得2分，不符合要求不得分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0" w:hRule="atLeast"/>
          <w:jc w:val="center"/>
        </w:trPr>
        <w:tc>
          <w:tcPr>
            <w:tcW w:w="42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6.中药专业技术人员占药学专业技术人员比例至少达到60%。</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查阅相关资料，并实地考查。</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中药专业技术人员占药学专业技术人员比例≥60%的，得1分，否则按以下情形扣分：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①占比30%-60%扣0.5分；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②少于30%扣1分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80" w:hRule="atLeast"/>
          <w:jc w:val="center"/>
        </w:trPr>
        <w:tc>
          <w:tcPr>
            <w:tcW w:w="425" w:type="pct"/>
            <w:vMerge w:val="restart"/>
            <w:tcBorders>
              <w:top w:val="nil"/>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四、药事管理（80分）</w:t>
            </w: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（二）药房设置（26分）</w:t>
            </w:r>
          </w:p>
        </w:tc>
        <w:tc>
          <w:tcPr>
            <w:tcW w:w="13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7.中药饮片质量验收负责人应为具有中级以上专业技术职务任职资格和中药饮片鉴别经验的人员或具有丰富中药饮片鉴别经验的老药工。中药饮片调剂复核人员应具有主管中药师以上专业技术职务任职资格(小包装饮片的复核人员应具有中药师以上专业技术职务任职资格)。煎药室负责人应具有中药师以上专业技术职务任职资格，煎药人员应为中药学专业人员或经培训取得相应资格的人员。</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查阅评审周期的人事档案及相关证明资料。</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各相应人员符合规范的，得5分，否则按以下情形扣分：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①中药饮片质量验收负责人不符合要求，扣1分；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②中药饮片调剂复核人员不符合要求，扣1分；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③煎药室负责人应具不符合要求，扣1分；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④煎药人员不符合要求的，扣1分/人，扣完为止。</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0" w:hRule="atLeast"/>
          <w:jc w:val="center"/>
        </w:trPr>
        <w:tc>
          <w:tcPr>
            <w:tcW w:w="42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（三）药房管理（49分）</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1.建立中药饮片采购制度，采购程序符合相关规定，供应商资质齐全并对其定期评估。</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查阅相关资料（如中药饮片采购制度、采购计划、供应商资质档案、评估记录等），实地考查。</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有中药饮片采购制度，采购程序符合规定，供应商资质齐全并定期评估的，得10分，否则按以下情形扣分：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①无中药采购制度或供应商资质不符合要求，或有伪药及明令禁止购销的产品，不得分；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②采购制度不完善，扣2分；每发现1种劣药，扣1分，扣完为止；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③对供应商评估记录不完整，扣3分。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jc w:val="center"/>
        </w:trPr>
        <w:tc>
          <w:tcPr>
            <w:tcW w:w="42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2.中药饮片验收管理制度健全并落实到位，记录完整。</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查阅中药饮片验收管理资料及评审周期的进货质量验收记录或入库清单。</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中药饮片验收管理制度健全且记录完整的，得5分，否则按以下情形扣分：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①无制度或无记录，不得分；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②制度不完善，扣1分；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③记录不完整，扣1分。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jc w:val="center"/>
        </w:trPr>
        <w:tc>
          <w:tcPr>
            <w:tcW w:w="425" w:type="pct"/>
            <w:vMerge w:val="restart"/>
            <w:tcBorders>
              <w:top w:val="nil"/>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四、药事管理（80分）</w:t>
            </w:r>
          </w:p>
        </w:tc>
        <w:tc>
          <w:tcPr>
            <w:tcW w:w="457"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（三）药房管理（49分）</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3.中药储存管理规范，有保证质量的管理制度和设施条件，做到定期养护。</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查阅相关资料，并实地考查。</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中药储存符合规范、有管理制度、设施条件符合规范、定期养护的，得5分，否则按以下情形扣分：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①中药饮片有变质、霉变、生虫、串药等现象或无储存管理规范、制度，不得分；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②设施条件不完善，扣1分；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③养护记录不完整，扣1分。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60" w:hRule="atLeast"/>
          <w:jc w:val="center"/>
        </w:trPr>
        <w:tc>
          <w:tcPr>
            <w:tcW w:w="425" w:type="pct"/>
            <w:vMerge w:val="continue"/>
            <w:tcBorders>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4.毒性中药、按麻醉药品管理的中药管理符合国家的相关法律法规。</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查阅相关资料，实地考查，并抽查10张毒性中药饮片、按麻醉药品管理的中药饮片处方。</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毒性中药、按麻醉药品管理的中药管理符合规定的，得5分，否则按以下情况扣分：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①无毒性中药饮片，不得分;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②未按规定实行双人双锁管理，扣1分；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③账物不符，扣1分；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④含毒性中药饮片、按麻醉药品管理的中药饮片处方调剂不符合规定，每张扣0.2分。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3" w:hRule="atLeast"/>
          <w:jc w:val="center"/>
        </w:trPr>
        <w:tc>
          <w:tcPr>
            <w:tcW w:w="42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5.建立中药饮片处方调剂制度和操作规范，严格处方的审核和调剂复核，调剂复核率100%，每剂重量误差应在±5%以内。严格执行中药饮片处方用名和调剂给付有关规定。</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查阅相关资料，实地考查，并抽查1日中药饮片处方和调剂后的中药饮片处方20剂。</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有中药饮片调剂制度和操作规范，操作符合规定的，得4分，否则按以下情形扣分：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①无饮片调剂制度和操作规范，不得分；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②未按规定审核或无复核签字，每张处方扣0.5分（最多扣3分）；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③重量误差不符合要求，每剂扣0.5分（最多扣2分）。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jc w:val="center"/>
        </w:trPr>
        <w:tc>
          <w:tcPr>
            <w:tcW w:w="425" w:type="pct"/>
            <w:vMerge w:val="continue"/>
            <w:tcBorders>
              <w:left w:val="single" w:color="000000" w:sz="4" w:space="0"/>
              <w:bottom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6.中药制剂的配制管理规范，委托加工的制剂须经相应部门批准，按照相关的规定执行。</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查阅相关资料，并实地考查。</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有中药制剂的配置管理规范，各项操作符合规定的，得4分，否则按以下情形扣分：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①无制剂配制记录或未经批准委托加工或委托加工批件不符合规定，不得分；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②配制记录不完善，扣1分。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0" w:hRule="atLeast"/>
          <w:jc w:val="center"/>
        </w:trPr>
        <w:tc>
          <w:tcPr>
            <w:tcW w:w="425"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四、药事管理（80分）</w:t>
            </w:r>
          </w:p>
        </w:tc>
        <w:tc>
          <w:tcPr>
            <w:tcW w:w="457"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（三）药房管理（49分）</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7.建立中药安全性监测管理制度和中药药品不良反应事件报告制度，按规定报告中药不良反应。</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查阅评审周期内相关资料，随机抽查3份归档病历。</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有中药安全性监测管理制度和中药药品不良反应事件报告制度，按规定报告中药不良反应的，得6分，否则按以下情形扣分：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①无制度，或无中药不良反应报告记录，不得分；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②未按照规定上报不良反应，每例扣2分，扣完为止。</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38" w:hRule="atLeast"/>
          <w:jc w:val="center"/>
        </w:trPr>
        <w:tc>
          <w:tcPr>
            <w:tcW w:w="425" w:type="pct"/>
            <w:vMerge w:val="continue"/>
            <w:tcBorders>
              <w:top w:val="single" w:color="000000" w:sz="4" w:space="0"/>
              <w:left w:val="single" w:color="000000" w:sz="4" w:space="0"/>
              <w:bottom w:val="single" w:color="auto"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8.定期开展中药处方评价工作，规范处方（用药医嘱）开具、审核、调配、核发、用药指导等行为。</w:t>
            </w:r>
          </w:p>
        </w:tc>
        <w:tc>
          <w:tcPr>
            <w:tcW w:w="602"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查阅评审周期相关资料，并实地核查。随机抽查某日中药饮片处方30张、住院病历5份。</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定期开展中药处方评价工作，规范处方（用药医嘱）开具、审核、调配、核发、用药指导等行为的，得10分，否则按以下情形扣分：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①未制定中药饮片处方点评工作制度，扣1分；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②无点评记录，扣1分；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③记录不完整,扣0.5分。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④门急诊中药饮片处方的抽查率&lt;中药饮片总处方量的0.5％，或每月点评处方绝对数&lt;100张，扣1分；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⑤病房（区）中药饮片处方抽查率（按出院病历数计）&lt;5%，或每月点评出院病历绝对数&lt;30份，扣1分；核查结果不符合，扣0.5分。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⑥抽查处方50份：中药饮片处方（医嘱）内容不规范，扣0.5分；药名书写不正确，每张扣0.5分；脚注不明确或没有书写，每张扣0.5分；双签字要求落实不到位，每张扣0.5分。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⑦处方点评结果未公示，扣1分；未纳入绩效考核，扣1分；干预和改进措施不到位，扣1分。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jc w:val="center"/>
        </w:trPr>
        <w:tc>
          <w:tcPr>
            <w:tcW w:w="42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五、护理80分</w:t>
            </w:r>
          </w:p>
        </w:tc>
        <w:tc>
          <w:tcPr>
            <w:tcW w:w="457"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（一）护理管理组织。</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1.严格执行《护士条例》，参照《中医医院中医护理工作指南（试行）》实施护理管理，医院年度工作计划中有相应的措施。</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查看医院本年度工作计划、实施工作记录等</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医院年度工作计划中有护理管理工作内容，得5分，否则不得分。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jc w:val="center"/>
        </w:trPr>
        <w:tc>
          <w:tcPr>
            <w:tcW w:w="425" w:type="pct"/>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五、护理80分</w:t>
            </w:r>
          </w:p>
        </w:tc>
        <w:tc>
          <w:tcPr>
            <w:tcW w:w="457" w:type="pct"/>
            <w:vMerge w:val="restart"/>
            <w:tcBorders>
              <w:top w:val="single" w:color="000000" w:sz="4" w:space="0"/>
              <w:left w:val="single" w:color="auto"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（一）护理管理组织。</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2.健全护理工作制度，护理安全管理制度、岗位职责、护理常规、操作规程等，并保证实施。</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工作制度、岗位职责、操作规程制度、考评资料</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有护理工作制度、护理安全管理制度、岗位职责、护理常规、操作规程等，并保证实施的，得5分，否则按以下情形扣分：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①未依据法律法规、行业指南、标准制定护理制度、常规和操作规程，不得分；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②未开展培训，扣2分；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③培训记录不全面，扣1分。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jc w:val="center"/>
        </w:trPr>
        <w:tc>
          <w:tcPr>
            <w:tcW w:w="425" w:type="pct"/>
            <w:vMerge w:val="continue"/>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auto"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3.设立护理质量管理委员会并开展工作。定期开展中医特色护理质量评价工作。</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相关文件、工作记录</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设立护理质量管理委员会并开展工作，定期开展中医特色护理质量评价工作的，得5分，否则按以下情形扣分：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①未建立委员会，不得分；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②相关记录未体现质量评价工作，扣1分。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jc w:val="center"/>
        </w:trPr>
        <w:tc>
          <w:tcPr>
            <w:tcW w:w="425" w:type="pct"/>
            <w:vMerge w:val="continue"/>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auto"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4.制定并落实分级护理岗位职责，实施护理人员分级管理，护理人员知晓本岗位的职责要求。</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管理文件、考评资料</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制定并落实分级护理岗位职责，实施护理人员分级管理，护理人员知晓本岗位的职责要求的，得5分，否则按以下情形扣分：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①未实施分级管理，或无岗位职责，不得分；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②护士不知晓本岗位职责，每人扣1分，扣完为止。</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jc w:val="center"/>
        </w:trPr>
        <w:tc>
          <w:tcPr>
            <w:tcW w:w="425" w:type="pct"/>
            <w:vMerge w:val="continue"/>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restart"/>
            <w:tcBorders>
              <w:top w:val="single" w:color="000000" w:sz="4" w:space="0"/>
              <w:left w:val="single" w:color="auto"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（二）护理人力资源管理。</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1.制定并实施有各级各类护士的在职培训计划，护士的中医药基础知识与技能满足岗位需要。</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近三年培训计划及实施记录、培训学习材料证明、评价资料</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制定并实施有各级各类护士的在职培训计划，护士的中医药基础知识与技能满足岗位需要的，得5分，否则按以下情形扣分：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①无培训计划不得分；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②未按计划进行培训扣2分/年，扣完为止</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425" w:type="pct"/>
            <w:vMerge w:val="continue"/>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left w:val="single" w:color="auto"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2.编制《常见病中医护理常规和中医护理基本操作规程》。</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查看相关文件资料</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编制有《常见病中医护理常规和中医护理基本操作规程》的，得5分，否则不得分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4" w:hRule="atLeast"/>
          <w:jc w:val="center"/>
        </w:trPr>
        <w:tc>
          <w:tcPr>
            <w:tcW w:w="425" w:type="pct"/>
            <w:vMerge w:val="restar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五、护理80分</w:t>
            </w:r>
          </w:p>
        </w:tc>
        <w:tc>
          <w:tcPr>
            <w:tcW w:w="457" w:type="pct"/>
            <w:tcBorders>
              <w:top w:val="single" w:color="000000" w:sz="4" w:space="0"/>
              <w:left w:val="single" w:color="auto"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（二）护理人力资源管理。</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3.护士掌握常见病的中医护理常规和护理基本操作，能够提供具有中医药特色的康复和健康指导。每个科室结合自身特点，开展2项以上中医特色护理。</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现场抽查3名护理人员</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每个科室结合自身特点，开展2项以上中医特色护理且护士掌握情况良好的，得15分，否则按以下情形扣分：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①科室无中医特色护理不得分；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②护理人员对本科室的基本操作不熟悉扣3分/人</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6" w:hRule="atLeast"/>
          <w:jc w:val="center"/>
        </w:trPr>
        <w:tc>
          <w:tcPr>
            <w:tcW w:w="425" w:type="pct"/>
            <w:vMerge w:val="continue"/>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restar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（三）护理组织实施管理。</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1.按照《病历书写基本规范（试行）》进行护理文件书写，有定期的质量评价。</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随机抽查3份病历</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护理文书书写符合规范的，得15分你，否则按以下情形扣分，扣完为止：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 病历护理记录不规范每份扣3分；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②未体现质量评价每份扣3分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14" w:hRule="atLeast"/>
          <w:jc w:val="center"/>
        </w:trPr>
        <w:tc>
          <w:tcPr>
            <w:tcW w:w="425" w:type="pct"/>
            <w:vMerge w:val="continue"/>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top w:val="single" w:color="000000" w:sz="4" w:space="0"/>
              <w:left w:val="single" w:color="auto"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2.建立质量可追溯的机制，定期与不定期对护理质量标准进行效果评价，并能体现在持续改进的过程中。</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相关文件、检查记录、现场考核</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建立质量可追溯的机制，定期与不定期对护理质量标准进行效果评价的，得10分，否则按以下情形扣分：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①未建立机制不得分；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②未定期进行效果评价每份扣5分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92" w:hRule="atLeast"/>
          <w:jc w:val="center"/>
        </w:trPr>
        <w:tc>
          <w:tcPr>
            <w:tcW w:w="425" w:type="pct"/>
            <w:vMerge w:val="continue"/>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vMerge w:val="continue"/>
            <w:tcBorders>
              <w:top w:val="single" w:color="000000" w:sz="4" w:space="0"/>
              <w:left w:val="single" w:color="auto" w:sz="4" w:space="0"/>
              <w:bottom w:val="single" w:color="000000"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3.能提供适宜的中医康复、健康护理指导。</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督查记录、现场检查</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能提供适宜的中医康复和健康指导的，得10分。未提供健康指导不得分；指导不能体现中医内容扣5分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425" w:type="pct"/>
            <w:vMerge w:val="restart"/>
            <w:tcBorders>
              <w:top w:val="single" w:color="auto" w:sz="4" w:space="0"/>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六、临床检验（40分）</w:t>
            </w:r>
          </w:p>
        </w:tc>
        <w:tc>
          <w:tcPr>
            <w:tcW w:w="457"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（一）设置</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临床检验部门设置、布局、设备设施符合《医疗机构临床实验室管理办法》，临床检验项目满足临床需要，对本院临床诊疗临时需要，而不能提供的特殊检验项目，可委托其他三级甲等医院或具备资质的独立的检验机构提供服务或多院联合开展服务，但应签署医院之间的委托服务协议，有质量保证条款，能提供24小时急诊检验服务，明确急诊检验报告时间，临检项目≤30分钟出报告，生化、免疫项目≤2小时出报告。检验项目、设备、试剂及校准品管理符合现行法律法规及卫生行政部门标准的要求。</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查阅相关资料并实地考查。抽查临检、微生物、免疫、生化等专业项目，现场查看，抽查检验报告</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80" w:lineRule="exact"/>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临床检验部门设置符合规范、服务能力符合要求的，得10分，否则按以下情况扣分，扣完为止：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①未集中设置、统一管理扣1分；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②临床检验项目不能满足临床需要，扣1分；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③每年未为临床推出新项目（至少1项），扣0.5分；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④微生物室未定期为临床提供耐药菌的药物敏感性报告，扣0.5分；未定期（至少半年一次）公布常见分离细菌株及其药敏情况，扣0.5分；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⑤委托服务不符合要求，扣0.5分；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⑥微生物检验项目对院感控制及合理用药不能提供充分支持，扣0.5分。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⑦不能提供24小时急诊检验服务，扣1分；检验报告时间不符合要求，每项扣0.5分。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⑧检验项目不符合卫生行政部门准入范围，检验设备、试剂三证不齐全或不在有效期内，或校准品不符合法规规定的标准，或常规项目未进行恰当的方法学验证，扣1分。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jc w:val="center"/>
        </w:trPr>
        <w:tc>
          <w:tcPr>
            <w:tcW w:w="425" w:type="pct"/>
            <w:vMerge w:val="continue"/>
            <w:tcBorders>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（二）人员</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由具备临床检验专业资质的人员进行临床检验活动，解释检查结果。</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查阅相关资料，实地考察</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人员资质符合要求的，得4分，否则按以下情形扣分，扣完为止：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①资质不符合要求，每人扣0.2分；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②分子生物学实验室、HIV初筛实验室检验人员无上岗证，不得分；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③无具有相关资质的专业人员负责结果解释工作，扣0.5分。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jc w:val="center"/>
        </w:trPr>
        <w:tc>
          <w:tcPr>
            <w:tcW w:w="425" w:type="pct"/>
            <w:vMerge w:val="continue"/>
            <w:tcBorders>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（三）规章制度</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有实验室安全流程，制度及相应的标准操作流程，检查报告审核制度、质量与安全管理制度等。</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w:t>
            </w:r>
          </w:p>
        </w:tc>
        <w:tc>
          <w:tcPr>
            <w:tcW w:w="1945"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有实验室安全流程，制度及相应的标准操作流程，检查报告审核制度、质量与安全管理制度的，得4分，否则不得分。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425" w:type="pct"/>
            <w:vMerge w:val="restart"/>
            <w:tcBorders>
              <w:top w:val="single" w:color="auto" w:sz="4" w:space="0"/>
              <w:left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六、临床检验40分）</w:t>
            </w:r>
          </w:p>
        </w:tc>
        <w:tc>
          <w:tcPr>
            <w:tcW w:w="457"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（四）检验质量</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检验报告及时、准确、规范，严格审核制度。</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随机查阅检验报告，现场考核检验人员操作及报告准确度。抽查10份检验报告单。</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80" w:lineRule="exact"/>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检验报告及时、准确、规范，严格审核制度的，得6分，否则按以下情形扣分：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①未采用量值溯源、校准验证、能力验证、室内质控和室间质评进行质控，扣2分；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②定量项目检测项目未采用量值溯源，扣2分；未进行校准验证，扣2分；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③未参加能力验证，或未开展室内质控及室间质评，扣2分；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④未按照检验结果报告时间（临检常规项目≤30分钟，生化、免疫常规项目≤1个工作日出报告，微生物常规项目≤4个工作日）出具报告，每份扣0.5分；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⑤报告格式不规范，每份扣0.2分；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⑥检验报告单未经审核并执行双签字（急诊除外），每份扣0.5分。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60" w:hRule="atLeast"/>
          <w:jc w:val="center"/>
        </w:trPr>
        <w:tc>
          <w:tcPr>
            <w:tcW w:w="425" w:type="pct"/>
            <w:vMerge w:val="continue"/>
            <w:tcBorders>
              <w:left w:val="single" w:color="auto" w:sz="4" w:space="0"/>
              <w:bottom w:val="single" w:color="000000"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（五）病理</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病理科设置、布局、设备设施符合病理科建设与管理指南的要求，服务项目满足临床诊疗需要。从事病理诊断工作和技术工作的人员资质符合病理科建设与管理指南要求，诊断质量符合相关规定。</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查阅相关资料，实地考查</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80" w:lineRule="exact"/>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病理科建设符合要求、服务项目能满足诊疗需要、人员符合要求、诊断质量符合标准的，得6分，否则按以下情形扣分：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①不能满足医院功能和任务需求，不得分；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②服务项目不能满足临床需要，扣0.5分。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③设备配置不完备，不得分；布局不合理、不符合生物安全要求，每项扣0.5分。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④未签署委托服务协议，不得分；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⑤服务形式不明确，或无资质，或缺少质量保证条款，酌情扣分。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⑥人员配备不能满足工作需要，扣1分；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⑦相关人员不知晓本岗位职责，每人扣0.5分。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⑧</w:t>
            </w:r>
            <w:r>
              <w:rPr>
                <w:rFonts w:hint="eastAsia" w:ascii="仿宋_GB2312" w:hAnsi="仿宋_GB2312" w:eastAsia="仿宋_GB2312" w:cs="仿宋_GB2312"/>
                <w:i w:val="0"/>
                <w:iCs w:val="0"/>
                <w:color w:val="auto"/>
                <w:spacing w:val="-6"/>
                <w:kern w:val="0"/>
                <w:sz w:val="24"/>
                <w:szCs w:val="24"/>
                <w:u w:val="none"/>
                <w:lang w:val="en-US" w:eastAsia="zh-CN" w:bidi="ar"/>
              </w:rPr>
              <w:t>科室负责人不符合，扣0.5分;报告医师不符合要求，每人扣0.2分;其他人员未经培训，每人扣0.1分；</w:t>
            </w:r>
            <w:r>
              <w:rPr>
                <w:rFonts w:hint="eastAsia" w:ascii="仿宋_GB2312" w:hAnsi="仿宋_GB2312" w:eastAsia="仿宋_GB2312" w:cs="仿宋_GB2312"/>
                <w:i w:val="0"/>
                <w:iCs w:val="0"/>
                <w:color w:val="auto"/>
                <w:spacing w:val="-6"/>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⑨诊断或制片质量不符合相关规定，酌情扣分。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67" w:hRule="atLeast"/>
          <w:jc w:val="center"/>
        </w:trPr>
        <w:tc>
          <w:tcPr>
            <w:tcW w:w="425" w:type="pct"/>
            <w:tcBorders>
              <w:top w:val="single" w:color="000000" w:sz="4" w:space="0"/>
              <w:left w:val="single" w:color="000000" w:sz="4" w:space="0"/>
              <w:bottom w:val="single" w:color="000000" w:sz="4" w:space="0"/>
              <w:right w:val="nil"/>
            </w:tcBorders>
            <w:noWrap w:val="0"/>
            <w:vAlign w:val="center"/>
          </w:tcPr>
          <w:p>
            <w:r>
              <w:rPr>
                <w:rFonts w:hint="eastAsia" w:ascii="仿宋_GB2312" w:hAnsi="仿宋_GB2312" w:eastAsia="仿宋_GB2312" w:cs="仿宋_GB2312"/>
                <w:i w:val="0"/>
                <w:iCs w:val="0"/>
                <w:color w:val="auto"/>
                <w:kern w:val="0"/>
                <w:sz w:val="24"/>
                <w:szCs w:val="24"/>
                <w:u w:val="none"/>
                <w:lang w:val="en-US" w:eastAsia="zh-CN" w:bidi="ar"/>
              </w:rPr>
              <w:t>六、临床检验（40分）</w:t>
            </w:r>
          </w:p>
          <w:p>
            <w:pPr>
              <w:jc w:val="center"/>
              <w:rPr>
                <w:rFonts w:hint="eastAsia" w:ascii="仿宋_GB2312" w:hAnsi="仿宋_GB2312" w:eastAsia="仿宋_GB2312" w:cs="仿宋_GB2312"/>
                <w:i w:val="0"/>
                <w:iCs w:val="0"/>
                <w:color w:val="auto"/>
                <w:sz w:val="24"/>
                <w:szCs w:val="24"/>
                <w:u w:val="none"/>
              </w:rPr>
            </w:pP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（六）输血</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1.1 落实《中华人民共和国献血法》、《医疗机构临床用血管理办法（试行）》和《临床输血技术规范》等有关法律和规范，制定输血管理制度，并落实。</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1.2 加强临床用血过程管理，严格掌握输血适应症，促进临床安全、合理、科学用血。</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1.3 开展对临床医师输血知识的教育与培训（每年至少一次），开展临床用血评价。</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1.4 执行输血前相关检测规定，输血前向患者及其近亲属告知输血的目的和风险，并签署“输血治疗知情同意书”。</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1.5 制定临床用血前评估和用血后效果评价制度，严格掌握输血适应症，做到安全、有效、科学用血。</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1.6 积极开展血液保护相关技术，建立自体输血、围手术期血液保护等输血技术管理制度，并落实。</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查阅相关资料，实地考查，抽查5份运行或归档的输血病历。抽查1名医务人员。</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有相关输血管理制度并落实，临床用血符合相关管理规定的，得10分，否则按以下情形扣分：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①无相关制度和实施细则，扣1分，内容未涵盖全过程，扣0.2分；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②对医务人员未进行相关培训，扣1分；医务人员对输血的相关制度不熟悉，扣0.3分。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③无用血计划，扣0.2分；无分级管理制度，扣0.2分；未定期进行用血评价及公示，扣0.2分。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④未定期进行培训，扣1分；医院未将医师合理用血的评价结果用于个人业绩考核与用血权限的认定，扣0.3分。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⑤未进行血型及感染筛查（肝功能、乙肝五项、HCV、HIV、梅毒抗体）的相关检测，每份扣0.3分；未签署“输血治疗知情同意书”，每份扣0.3分。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⑥无输血适应症管理规定，不得分；无用血后效果评价管理要求及评价，不得分；医院无输血指征综合评估的指标，扣0.5分；医务人员输血适应症掌握不全面，扣0.5分。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⑦无自体输血、围手术期血液保护等输血技术管理制度，不得分；无相关设备，不得分；上年度未开展自体输血，扣0.5分。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61" w:hRule="atLeast"/>
          <w:jc w:val="center"/>
        </w:trPr>
        <w:tc>
          <w:tcPr>
            <w:tcW w:w="425" w:type="pct"/>
            <w:vMerge w:val="restart"/>
            <w:tcBorders>
              <w:top w:val="single" w:color="000000" w:sz="4" w:space="0"/>
              <w:left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七、医学影像(30分）</w:t>
            </w: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（一）设置</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医学影像（普通放射、CT、MRl、超声、核素成像等）部门设置、布局、设备设施符合《放射诊疗管理规定》，通过医疗机构执业诊疗科目许可登记，取得《放射诊疗许可证》，服务满足临床需要。</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现场查看</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80" w:lineRule="exact"/>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医学影像（部门设置、布局、设备设施符合《放射诊疗管理规定》，通过医疗机构执业诊疗科目许可登记，取得《放射诊疗许可证》，服务满足临床需要的，得5分，否则按以下情形扣分：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①未取得《放射诊疗许可证》，或《许可证》诊疗项目与诊疗服务不符合，不得分；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②X线影像、超声检查、CT不能提供24小时急诊（包括床边急诊）检查服务，每项扣1分。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63" w:hRule="atLeast"/>
          <w:jc w:val="center"/>
        </w:trPr>
        <w:tc>
          <w:tcPr>
            <w:tcW w:w="425" w:type="pct"/>
            <w:vMerge w:val="continue"/>
            <w:tcBorders>
              <w:left w:val="single" w:color="000000" w:sz="4" w:space="0"/>
              <w:right w:val="nil"/>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（二）人员</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由具备医学影像专业资质的人员进行医学影像检查活动，出具检查报告人员应具备执业医师资质。</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80" w:lineRule="exact"/>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工作人员资质符合相关规定的，得5分，否则按以下情形扣分：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①医师、技术人员和护士配备与影像科室服务规模和任务不相符，每类扣1分；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②科室负责人不具备副主任医师以上专业技术任职资格，扣1分；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③其他人员资质不合格，每人扣0.5分，扣完为止。</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0" w:hRule="atLeast"/>
          <w:jc w:val="center"/>
        </w:trPr>
        <w:tc>
          <w:tcPr>
            <w:tcW w:w="425" w:type="pct"/>
            <w:vMerge w:val="continue"/>
            <w:tcBorders>
              <w:left w:val="single" w:color="000000" w:sz="4" w:space="0"/>
              <w:bottom w:val="single" w:color="000000" w:sz="4" w:space="0"/>
              <w:right w:val="nil"/>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（三）规章制度</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规章制度健全，有岗位职责、技术操作规范、质量控制制度、医学影像诊断报告审核制度、医学影像设备定期监测制度、环境保护、受检者防护及工作人员职业健康防护等相关制度。</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查阅相关资料</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line="280" w:lineRule="exact"/>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规章制度健全的得10分，否则按以下情形扣分：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①无规章制度和技术操作规范，不得分；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②制度或技术操作规范未落实，酌情扣分;员工不知晓本岗位职责，扣1分；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w:t>
            </w:r>
            <w:r>
              <w:rPr>
                <w:rFonts w:hint="eastAsia" w:ascii="仿宋_GB2312" w:hAnsi="仿宋_GB2312" w:eastAsia="仿宋_GB2312" w:cs="仿宋_GB2312"/>
                <w:i w:val="0"/>
                <w:iCs w:val="0"/>
                <w:color w:val="auto"/>
                <w:spacing w:val="-6"/>
                <w:kern w:val="0"/>
                <w:sz w:val="24"/>
                <w:szCs w:val="24"/>
                <w:u w:val="none"/>
                <w:lang w:val="en-US" w:eastAsia="zh-CN" w:bidi="ar"/>
              </w:rPr>
              <w:t>未制定质控指标，扣1分;指标未落实，或无质量控制记录，扣1分；院内影像设备未实行统一质控，扣1分。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④未开展设备年度安全检查，或无定期校正和维护记录，扣1分；设备运行完好率＜95%，扣0.5分。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⑤未对受检者敏感器官和组织进行屏蔽防护，扣1分；未给工作人员提供完整的放射防护器材与个人防护用品，扣1分：未为影像科人员佩戴个人放射剂量计，扣1分;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⑥影像人员未完成每年健康检查，酌情扣分。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55" w:hRule="atLeast"/>
          <w:jc w:val="center"/>
        </w:trPr>
        <w:tc>
          <w:tcPr>
            <w:tcW w:w="425" w:type="pct"/>
            <w:tcBorders>
              <w:top w:val="single" w:color="000000" w:sz="4" w:space="0"/>
              <w:left w:val="single" w:color="000000" w:sz="4" w:space="0"/>
              <w:bottom w:val="single" w:color="000000" w:sz="4" w:space="0"/>
              <w:right w:val="nil"/>
            </w:tcBorders>
            <w:noWrap w:val="0"/>
            <w:vAlign w:val="center"/>
          </w:tcPr>
          <w:p>
            <w:r>
              <w:rPr>
                <w:rFonts w:hint="eastAsia" w:ascii="仿宋_GB2312" w:hAnsi="仿宋_GB2312" w:eastAsia="仿宋_GB2312" w:cs="仿宋_GB2312"/>
                <w:i w:val="0"/>
                <w:iCs w:val="0"/>
                <w:color w:val="auto"/>
                <w:kern w:val="0"/>
                <w:sz w:val="24"/>
                <w:szCs w:val="24"/>
                <w:u w:val="none"/>
                <w:lang w:val="en-US" w:eastAsia="zh-CN" w:bidi="ar"/>
              </w:rPr>
              <w:t>七、医学影像(30分）</w:t>
            </w:r>
          </w:p>
          <w:p>
            <w:pPr>
              <w:jc w:val="center"/>
              <w:rPr>
                <w:rFonts w:hint="eastAsia" w:ascii="仿宋_GB2312" w:hAnsi="仿宋_GB2312" w:eastAsia="仿宋_GB2312" w:cs="仿宋_GB2312"/>
                <w:i w:val="0"/>
                <w:iCs w:val="0"/>
                <w:color w:val="auto"/>
                <w:sz w:val="24"/>
                <w:szCs w:val="24"/>
                <w:u w:val="none"/>
              </w:rPr>
            </w:pP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（四）质量</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检查报告及时、准确、规范，严格审核制度。</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抽查评审周期X线影像、超声检查、CT（MRI）、或核素成像各5份报告。</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both"/>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检查报告及时、准确、规范，严格执行审核制度的，得10分，否则按以下情形扣分：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①出具报告医师资质、报告时间、报告流程不符合要求，每发现一处扣0.5分；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②报告质量不符合要求，每份扣1分;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③未执行审核制度，每份扣0.5分;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④无质量评价，或未确立质量指标，扣0.3分;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⑤整改措施落实不到位，酌情扣分。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96" w:hRule="atLeast"/>
          <w:jc w:val="center"/>
        </w:trPr>
        <w:tc>
          <w:tcPr>
            <w:tcW w:w="425" w:type="pct"/>
            <w:vMerge w:val="restart"/>
            <w:tcBorders>
              <w:top w:val="single" w:color="000000" w:sz="4" w:space="0"/>
              <w:left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八、院内感染管理（160分）</w:t>
            </w:r>
          </w:p>
        </w:tc>
        <w:tc>
          <w:tcPr>
            <w:tcW w:w="45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（一）管理组织</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根据《医院感染管理办法》建立健全医院医院感染管理，职责明确。院感专（兼）职人员配置符合《医院感染监测标准》要求；定期接受监测与感染管理知识、技能的培训并熟练掌握。</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查看相关资料。</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医院感染管理组织建设及专职人员管理符合要求，得20分；否则按以下情形扣分，扣完为止：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①管理组织不健全，扣10分，未正式印发文件，扣2分；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②未明确工作职责，扣5分。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③未配置院感专（兼）职人员扣5分；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④无专职人员参加医院感染培训记录或资料，扣5分；少一人，扣1分。</w:t>
            </w:r>
          </w:p>
        </w:tc>
        <w:tc>
          <w:tcPr>
            <w:tcW w:w="267" w:type="pct"/>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28" w:hRule="atLeast"/>
          <w:jc w:val="center"/>
        </w:trPr>
        <w:tc>
          <w:tcPr>
            <w:tcW w:w="425" w:type="pct"/>
            <w:vMerge w:val="continue"/>
            <w:tcBorders>
              <w:left w:val="single" w:color="000000" w:sz="4" w:space="0"/>
              <w:bottom w:val="single" w:color="auto" w:sz="4" w:space="0"/>
              <w:right w:val="single" w:color="000000"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（二）管理制度</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医院应按《医疗机构感染预防与控制基本制度（试行）》的要求，建立健全适合本院情况的医院感染预防与控制制度，并根据最新要求及时修订。</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查看医院感染基本制度、工作流程。</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按要求建立医院感染预防与控制制度，并及时修订，得20分，否则按以下情形扣分，扣完为止：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①制度不健全，每少一个扣5分；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②抽查1-2个制度，发现与医院实际情况不符，每个扣5分；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③未及时修订，每个扣5分。</w:t>
            </w:r>
          </w:p>
        </w:tc>
        <w:tc>
          <w:tcPr>
            <w:tcW w:w="267" w:type="pct"/>
            <w:tcBorders>
              <w:top w:val="single" w:color="000000" w:sz="4" w:space="0"/>
              <w:left w:val="nil"/>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jc w:val="center"/>
        </w:trPr>
        <w:tc>
          <w:tcPr>
            <w:tcW w:w="425" w:type="pct"/>
            <w:vMerge w:val="restart"/>
            <w:tcBorders>
              <w:top w:val="single" w:color="auto" w:sz="4" w:space="0"/>
              <w:left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八、院内感染管理（160分）</w:t>
            </w:r>
          </w:p>
        </w:tc>
        <w:tc>
          <w:tcPr>
            <w:tcW w:w="457"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（三）医务人员培训及考核</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按照《医院感染管理专业人员培训指南》、《病区医院感染管理规范》等要求，开展院科两级医院感染防控相关知识培训，医务人员能正确掌握医院感染防控知识。</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查看培训记录；抽查2个临床科室，3-5名医务人员</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按要求开展医务人员培训，医务人员能正确掌握医院感染防控知识，得20分；否则按以下情形扣分，扣完为止：</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①未开展院科两级培训，不得分；未开展院级培训，扣10分；未开展科级培训，少一科扣5分。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②培训记录（培训通知、内容、签到表、考核记录）不完整，每项扣2分；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③医务人员不掌握医院感染防控知识，每人扣2分。</w:t>
            </w:r>
          </w:p>
        </w:tc>
        <w:tc>
          <w:tcPr>
            <w:tcW w:w="267" w:type="pct"/>
            <w:tcBorders>
              <w:top w:val="single" w:color="000000" w:sz="4" w:space="0"/>
              <w:left w:val="nil"/>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0" w:hRule="atLeast"/>
          <w:jc w:val="center"/>
        </w:trPr>
        <w:tc>
          <w:tcPr>
            <w:tcW w:w="425" w:type="pct"/>
            <w:vMerge w:val="continue"/>
            <w:tcBorders>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（四）医院感染监测与质控管理</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根据《医院感染监测标准》等，有效落实医院感染各项监测工作，定期分析总结，开展感染风险评估和医院感染质控管理，检查感染防控与制度落实情况，采取针对性的预防与控制措施，持续改进。并定期反馈。</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查阅监测计划、监测记录、监测总结、分析等</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1.未开展监测工作，不得分；全院性综合监测、目标性监测、医院感染现患率调查，监测项目不全，缺一项扣3分；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 xml:space="preserve">2.监测资料不完整，无监测计划、记录、汇总分析，少一项扣2分；院科两级无持续追踪整改，扣2分/项；监测方法不正确，扣2分/项；未定期开展医院感染风险评估扣10分，风险评估与本院实际不相符扣5分。  </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3.发生医院感染暴发未报告不得分；发生疑似医院感染暴发或聚集事件未进行调查和处置，无记录，扣3分/次。未能提供效验周期内相关案例调查处置记录扣5分，调查处置不合理扣2分。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4.未开展院科两级医院感染质控管理，扣10分，未体现持续改进，无总结分析、反馈、整改追踪及效果评价资料扣5分。未纳入医院绩效考核扣5分。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5.未定期向临床反馈，每季度未能将监测的相关数据以简报的形式全院发布，扣5分。</w:t>
            </w:r>
          </w:p>
        </w:tc>
        <w:tc>
          <w:tcPr>
            <w:tcW w:w="26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40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0" w:hRule="atLeast"/>
          <w:jc w:val="center"/>
        </w:trPr>
        <w:tc>
          <w:tcPr>
            <w:tcW w:w="425" w:type="pct"/>
            <w:vMerge w:val="restart"/>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八、院内感染管理（160分）</w:t>
            </w:r>
          </w:p>
        </w:tc>
        <w:tc>
          <w:tcPr>
            <w:tcW w:w="457"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（五）消毒隔离防护措施与重点部门管理</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根据《传染病防治法》《医疗机构消毒技术规范》《医院隔离技术标准》《中医技术相关性感染预防与控制指南 (试行)》《医院感染监测规范》《多重耐药菌医院感染预防与控制技术指南（试行）》等要求，落实消毒隔离防护措施和专科感染防控措施。感染性疾病科、手术室、消毒供应室、新生儿科、血液透析室、重症医学科、产科、介入手术室、口腔科、内镜室、急诊科、检验科、放射科的布局流程及运行管理符合相关院感要求。</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抽查3个医院感染重点部门和1个普通临床科室（消毒供应室必查）</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1.消毒隔离防护措施或专科感染防控措施落实不到位或不规范，扣2分/处；</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2.各类医疗器械、医疗用品的消毒、灭菌方法方式不符合要求，扣2分/处；消毒与防护用品不符合标准，扣5分；                                           3.未对疑似/确诊的传染病患者或多重耐药菌感染/定值患者采取有效隔离措施，扣3分/人；</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2.重点部门建筑布局流程不合理，扣2分/部门；</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3.临床科室未建立与本科室相关感染防控制度扣5分/部门，制度不全，扣2分/项；未按要求运行管理，扣2分/处（与其他项目重复项不重复扣分）。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扣完为止。</w:t>
            </w:r>
          </w:p>
        </w:tc>
        <w:tc>
          <w:tcPr>
            <w:tcW w:w="26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00" w:hRule="atLeast"/>
          <w:jc w:val="center"/>
        </w:trPr>
        <w:tc>
          <w:tcPr>
            <w:tcW w:w="425" w:type="pct"/>
            <w:vMerge w:val="continue"/>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_GB2312" w:hAnsi="仿宋_GB2312" w:eastAsia="仿宋_GB2312" w:cs="仿宋_GB2312"/>
                <w:i w:val="0"/>
                <w:iCs w:val="0"/>
                <w:color w:val="auto"/>
                <w:sz w:val="24"/>
                <w:szCs w:val="24"/>
                <w:u w:val="none"/>
              </w:rPr>
            </w:pPr>
          </w:p>
        </w:tc>
        <w:tc>
          <w:tcPr>
            <w:tcW w:w="457" w:type="pct"/>
            <w:tcBorders>
              <w:top w:val="single" w:color="000000" w:sz="4" w:space="0"/>
              <w:left w:val="single" w:color="auto"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（六）手卫生</w:t>
            </w:r>
          </w:p>
        </w:tc>
        <w:tc>
          <w:tcPr>
            <w:tcW w:w="13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根据《医务人员手卫生规范》，制定手卫生管理制度，将手卫生纳入医院医疗质量考核；开展手卫生知识与技能培训、手卫生依从性及消毒效果监测；手卫生设施设置齐全，符合要求。</w:t>
            </w:r>
          </w:p>
        </w:tc>
        <w:tc>
          <w:tcPr>
            <w:tcW w:w="602"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查看制度、培训记录、监测记录等资料，抽查2个临床科室，3-5名医务人员</w:t>
            </w:r>
          </w:p>
        </w:tc>
        <w:tc>
          <w:tcPr>
            <w:tcW w:w="194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_GB2312" w:hAnsi="仿宋_GB2312" w:eastAsia="仿宋_GB2312" w:cs="仿宋_GB2312"/>
                <w:i w:val="0"/>
                <w:iCs w:val="0"/>
                <w:color w:val="auto"/>
                <w:sz w:val="24"/>
                <w:szCs w:val="24"/>
                <w:u w:val="none"/>
              </w:rPr>
            </w:pPr>
            <w:r>
              <w:rPr>
                <w:rFonts w:hint="eastAsia" w:ascii="仿宋_GB2312" w:hAnsi="仿宋_GB2312" w:eastAsia="仿宋_GB2312" w:cs="仿宋_GB2312"/>
                <w:i w:val="0"/>
                <w:iCs w:val="0"/>
                <w:color w:val="auto"/>
                <w:kern w:val="0"/>
                <w:sz w:val="24"/>
                <w:szCs w:val="24"/>
                <w:u w:val="none"/>
                <w:lang w:val="en-US" w:eastAsia="zh-CN" w:bidi="ar"/>
              </w:rPr>
              <w:t>1.未制定手卫生管理制度，纳入上述“管理制度”条款扣分；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2.未将手卫生纳入院科两级培训、监测和医院医疗质量考核，扣2分/项/级或科；</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2.培训记录或监测记录不完整，扣1分/项。</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3.手卫生设施配备不齐全或不符合标准，扣2分/项。</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4.缺乏改进措施，手卫生依从率、正确率无持续改进，扣5分；</w:t>
            </w:r>
            <w:r>
              <w:rPr>
                <w:rFonts w:hint="eastAsia" w:ascii="仿宋_GB2312" w:hAnsi="仿宋_GB2312" w:eastAsia="仿宋_GB2312" w:cs="仿宋_GB2312"/>
                <w:i w:val="0"/>
                <w:iCs w:val="0"/>
                <w:color w:val="auto"/>
                <w:kern w:val="0"/>
                <w:sz w:val="24"/>
                <w:szCs w:val="24"/>
                <w:u w:val="none"/>
                <w:lang w:val="en-US" w:eastAsia="zh-CN" w:bidi="ar"/>
              </w:rPr>
              <w:br w:type="textWrapping"/>
            </w:r>
            <w:r>
              <w:rPr>
                <w:rFonts w:hint="eastAsia" w:ascii="仿宋_GB2312" w:hAnsi="仿宋_GB2312" w:eastAsia="仿宋_GB2312" w:cs="仿宋_GB2312"/>
                <w:i w:val="0"/>
                <w:iCs w:val="0"/>
                <w:color w:val="auto"/>
                <w:kern w:val="0"/>
                <w:sz w:val="24"/>
                <w:szCs w:val="24"/>
                <w:u w:val="none"/>
                <w:lang w:val="en-US" w:eastAsia="zh-CN" w:bidi="ar"/>
              </w:rPr>
              <w:t>6.抽查手卫生操作不正确或工作中未规范执行或提问医务人员不掌握手卫生相关知识，扣2分/人。</w:t>
            </w:r>
          </w:p>
        </w:tc>
        <w:tc>
          <w:tcPr>
            <w:tcW w:w="26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auto"/>
                <w:kern w:val="2"/>
                <w:sz w:val="24"/>
                <w:szCs w:val="24"/>
                <w:u w:val="none"/>
                <w:lang w:val="en-US" w:eastAsia="zh-CN" w:bidi="ar-SA"/>
              </w:rPr>
            </w:pPr>
            <w:r>
              <w:rPr>
                <w:rFonts w:hint="eastAsia" w:ascii="仿宋_GB2312" w:hAnsi="仿宋_GB2312" w:eastAsia="仿宋_GB2312" w:cs="仿宋_GB2312"/>
                <w:i w:val="0"/>
                <w:iCs w:val="0"/>
                <w:color w:val="auto"/>
                <w:kern w:val="0"/>
                <w:sz w:val="24"/>
                <w:szCs w:val="24"/>
                <w:u w:val="none"/>
                <w:lang w:val="en-US" w:eastAsia="zh-CN" w:bidi="ar"/>
              </w:rPr>
              <w:t>20</w:t>
            </w:r>
          </w:p>
        </w:tc>
      </w:tr>
    </w:tbl>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b w:val="0"/>
          <w:bCs w:val="0"/>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b w:val="0"/>
          <w:bCs w:val="0"/>
          <w:color w:val="auto"/>
          <w:sz w:val="32"/>
          <w:szCs w:val="32"/>
          <w:lang w:val="en-US" w:eastAsia="zh-CN"/>
        </w:rPr>
        <w:sectPr>
          <w:footerReference r:id="rId3" w:type="default"/>
          <w:pgSz w:w="16838" w:h="11906" w:orient="landscape"/>
          <w:pgMar w:top="1701" w:right="1417" w:bottom="1417" w:left="1417" w:header="851" w:footer="992" w:gutter="0"/>
          <w:pgNumType w:fmt="decimal"/>
          <w:cols w:space="720"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附件4</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b w:val="0"/>
          <w:bCs w:val="0"/>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广西壮族自治区中医</w:t>
      </w:r>
      <w:r>
        <w:rPr>
          <w:rFonts w:hint="eastAsia" w:ascii="方正小标宋简体" w:hAnsi="方正小标宋简体" w:eastAsia="方正小标宋简体" w:cs="方正小标宋简体"/>
          <w:color w:val="auto"/>
          <w:sz w:val="44"/>
          <w:szCs w:val="44"/>
          <w:lang w:eastAsia="zh-CN"/>
        </w:rPr>
        <w:t>医疗机构</w:t>
      </w:r>
      <w:r>
        <w:rPr>
          <w:rFonts w:hint="eastAsia" w:ascii="方正小标宋简体" w:hAnsi="方正小标宋简体" w:eastAsia="方正小标宋简体" w:cs="方正小标宋简体"/>
          <w:color w:val="auto"/>
          <w:sz w:val="44"/>
          <w:szCs w:val="44"/>
        </w:rPr>
        <w:t>校验现场审查</w:t>
      </w:r>
      <w:r>
        <w:rPr>
          <w:rFonts w:hint="eastAsia" w:ascii="方正小标宋简体" w:hAnsi="方正小标宋简体" w:eastAsia="方正小标宋简体" w:cs="方正小标宋简体"/>
          <w:color w:val="auto"/>
          <w:sz w:val="44"/>
          <w:szCs w:val="44"/>
          <w:lang w:eastAsia="zh-CN"/>
        </w:rPr>
        <w:t>执业校验评分</w:t>
      </w:r>
      <w:r>
        <w:rPr>
          <w:rFonts w:hint="eastAsia" w:ascii="方正小标宋简体" w:hAnsi="方正小标宋简体" w:eastAsia="方正小标宋简体" w:cs="方正小标宋简体"/>
          <w:color w:val="auto"/>
          <w:sz w:val="44"/>
          <w:szCs w:val="44"/>
          <w:lang w:val="en-US" w:eastAsia="zh-CN"/>
        </w:rPr>
        <w:t>细则</w:t>
      </w:r>
      <w:r>
        <w:rPr>
          <w:rFonts w:hint="eastAsia" w:ascii="方正小标宋简体" w:hAnsi="方正小标宋简体" w:eastAsia="方正小标宋简体" w:cs="方正小标宋简体"/>
          <w:color w:val="auto"/>
          <w:sz w:val="44"/>
          <w:szCs w:val="44"/>
        </w:rPr>
        <w:t>总体说明</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szCs w:val="44"/>
        </w:rPr>
      </w:pPr>
    </w:p>
    <w:p>
      <w:pPr>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一、根据《中医医院建设标准</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中医医院建设标准2021版</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中医医院医疗设备配置标准（试行</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进一步明确全区医疗机构管理的有关规定</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医疗机构不良执业行为记分管理暂行办法</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医疗机构机构管理条例</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放射诊疗管理规定</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医疗器械监督管理条例</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大型医用设备配置与使用管理办法》（试行）、《母婴保健法</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母婴保健专项技术服务许可及人员资格管理办法</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母婴保健法实施办法</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住院病案首页数据填写质量规范（暂行）</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关于印发电子病历系统应用水平分级评价管理办法（试行）及评价标准（试行）的通知</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医疗机构管理条例</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医疗机构消防安全管理九项规定（2020年版）</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医疗机构药事管理规定</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麻醉药品和精神药品管理条例</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医疗用毒性药品管理办法</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无烟医疗卫生机构标准（试行）</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医疗废物管理条例</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医疗机构基本标准</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试行</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中医医院临床科室建设指南</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改善中医药服务行动方案（2023</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2025年）</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2024年国家医疗质量安全改进目标</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广西开展全面提升医疗质量行动</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2023</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2025年</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实施方案</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医疗技术临床应用管理办法</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医院中药房基本标准</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医院中药饮片管理规范</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highlight w:val="none"/>
        </w:rPr>
        <w:t>中医医院中医护理工作指南</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rPr>
        <w:t>护士条例</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广西壮族自治区医疗机构护理质量管理规范</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医疗机构临床实验室管理办法</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病理科建设与管理指南</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关于医技人员出具相关检查诊断报告的批复》（卫政法发〔2004〕）163号）、《职业病防治法</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医院感染监测标准</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医疗机构感染预防与控制基本制度（试行）</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三级中医医院等级评审标准</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关于进一步加强医疗机构感染预防与控制工作的通知》（国卫办医函</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2019</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480号）、WST-312-2023《医院感染监测标准</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医疗废物管理条例》等，</w:t>
      </w:r>
      <w:r>
        <w:rPr>
          <w:rFonts w:hint="eastAsia" w:ascii="仿宋_GB2312" w:hAnsi="仿宋_GB2312" w:eastAsia="仿宋_GB2312" w:cs="仿宋_GB2312"/>
          <w:color w:val="auto"/>
          <w:sz w:val="32"/>
          <w:szCs w:val="32"/>
          <w:lang w:val="en-US" w:eastAsia="zh-CN"/>
        </w:rPr>
        <w:t>同时按照《广西壮族自治区医疗机构管理办法》《广西壮族自治区中医药条例》要求，制定本细则。</w:t>
      </w:r>
    </w:p>
    <w:p>
      <w:pPr>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二、本细则适用于三级、二级、一级的中医医院、中西医结合医院、中西医结合骨科医院以及壮医医院等民族医医院。</w:t>
      </w:r>
    </w:p>
    <w:p>
      <w:pPr>
        <w:ind w:firstLine="640" w:firstLineChars="200"/>
        <w:rPr>
          <w:rFonts w:hint="eastAsia" w:ascii="仿宋_GB2312" w:hAnsi="仿宋_GB2312" w:eastAsia="仿宋_GB2312" w:cs="仿宋_GB2312"/>
          <w:color w:val="auto"/>
          <w:sz w:val="32"/>
          <w:szCs w:val="32"/>
          <w:highlight w:val="yellow"/>
          <w:lang w:eastAsia="zh-CN"/>
        </w:rPr>
      </w:pPr>
      <w:r>
        <w:rPr>
          <w:rFonts w:hint="eastAsia" w:ascii="仿宋_GB2312" w:hAnsi="仿宋_GB2312" w:eastAsia="仿宋_GB2312" w:cs="仿宋_GB2312"/>
          <w:color w:val="auto"/>
          <w:sz w:val="32"/>
          <w:szCs w:val="32"/>
          <w:highlight w:val="none"/>
        </w:rPr>
        <w:t>三、按照《医疗机构校验管理办法》关于“暂缓校验”的相关要求，本细则将基本标准、若未达到势必影响医疗质量与患者安全的指标列为“核心指标”</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以★标示</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，核心指标不设定分值。</w:t>
      </w:r>
    </w:p>
    <w:p>
      <w:pPr>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四、经校验认定不具备相应医疗服务能力的医疗机构，由登记机关注销其相应科目的执业资格。</w:t>
      </w:r>
    </w:p>
    <w:p>
      <w:pPr>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五、结合三级中医医院基本标准和细则评估要求，校验现场审查结论分为：校验合格和暂缓校验。</w:t>
      </w:r>
    </w:p>
    <w:p>
      <w:pPr>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（一）校验评价得分总分达到850分及以上，且核心指标全部符合要求时，专家组将作出“建议校验合格”的现场审查意见。最终是否校验合格，由登记机关结合书面审查等情况作出决定。</w:t>
      </w:r>
    </w:p>
    <w:p>
      <w:pPr>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二）校验评价得分总分低于850分，或核心指标中任一项不符合要求，或校验审查所涉及的文件、病案和材料存在隐瞒、弄虚作假情况时，专家组应提出“建议暂缓校验”的意见。登记机关将据此作出结论，下达整改通知书，并根据情况，给予1至6个月的暂缓校验期。</w:t>
      </w:r>
    </w:p>
    <w:p>
      <w:pPr>
        <w:ind w:firstLine="640" w:firstLineChars="200"/>
        <w:rPr>
          <w:rFonts w:hint="eastAsia" w:ascii="仿宋_GB2312" w:hAnsi="仿宋_GB2312" w:eastAsia="仿宋_GB2312" w:cs="仿宋_GB2312"/>
          <w:color w:val="auto"/>
          <w:sz w:val="32"/>
          <w:szCs w:val="32"/>
        </w:rPr>
      </w:pPr>
    </w:p>
    <w:p>
      <w:pPr>
        <w:ind w:firstLine="640" w:firstLineChars="200"/>
        <w:rPr>
          <w:rFonts w:hint="eastAsia" w:ascii="仿宋_GB2312" w:hAnsi="仿宋_GB2312" w:eastAsia="仿宋_GB2312" w:cs="仿宋_GB2312"/>
          <w:color w:val="auto"/>
          <w:sz w:val="32"/>
          <w:szCs w:val="32"/>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黑体" w:hAnsi="黑体" w:eastAsia="黑体" w:cs="黑体"/>
          <w:color w:val="auto"/>
          <w:sz w:val="32"/>
          <w:szCs w:val="32"/>
          <w:lang w:val="en-US" w:eastAsia="zh-CN"/>
        </w:rPr>
      </w:pPr>
    </w:p>
    <w:sectPr>
      <w:pgSz w:w="11906" w:h="16838"/>
      <w:pgMar w:top="1417" w:right="1417" w:bottom="1701" w:left="1701" w:header="851" w:footer="992" w:gutter="0"/>
      <w:pgNumType w:fmt="decimal"/>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方正仿宋_GBK"/>
    <w:panose1 w:val="02010609030101010101"/>
    <w:charset w:val="86"/>
    <w:family w:val="auto"/>
    <w:pitch w:val="default"/>
    <w:sig w:usb0="00000000" w:usb1="00000000" w:usb2="00000000" w:usb3="00000000" w:csb0="00040000" w:csb1="00000000"/>
  </w:font>
  <w:font w:name="微软雅黑">
    <w:altName w:val="方正黑体_GBK"/>
    <w:panose1 w:val="020B0703020204020201"/>
    <w:charset w:val="00"/>
    <w:family w:val="auto"/>
    <w:pitch w:val="default"/>
    <w:sig w:usb0="00000000" w:usb1="00000000" w:usb2="00000016" w:usb3="00000000" w:csb0="0004001F" w:csb1="00000000"/>
  </w:font>
  <w:font w:name="方正小标宋简体">
    <w:panose1 w:val="02000000000000000000"/>
    <w:charset w:val="86"/>
    <w:family w:val="auto"/>
    <w:pitch w:val="default"/>
    <w:sig w:usb0="A00002BF" w:usb1="184F6CFA" w:usb2="00000012"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5"/>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1</w:t>
                          </w:r>
                          <w:r>
                            <w:rPr>
                              <w:rFonts w:hint="eastAsia" w:ascii="宋体" w:hAnsi="宋体" w:cs="宋体"/>
                              <w:sz w:val="28"/>
                              <w:szCs w:val="28"/>
                            </w:rPr>
                            <w:fldChar w:fldCharType="end"/>
                          </w:r>
                          <w:r>
                            <w:rPr>
                              <w:rFonts w:hint="eastAsia" w:ascii="宋体" w:hAnsi="宋体" w:cs="宋体"/>
                              <w:sz w:val="28"/>
                              <w:szCs w:val="28"/>
                              <w:lang w:eastAsia="zh-CN"/>
                            </w:rPr>
                            <w:t>—</w:t>
                          </w:r>
                        </w:p>
                      </w:txbxContent>
                    </wps:txbx>
                    <wps:bodyPr vert="horz" wrap="none" lIns="0" tIns="0" rIns="0" bIns="0" anchor="t" anchorCtr="false" upright="false">
                      <a:spAutoFit/>
                    </wps:bodyPr>
                  </wps:wsp>
                </a:graphicData>
              </a:graphic>
            </wp:anchor>
          </w:drawing>
        </mc:Choice>
        <mc:Fallback>
          <w:pict>
            <v:shape id="文本框 2"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FgAAAGRycy9QSwECFAAUAAAACACHTuJAzql5uc8AAAAFAQAADwAAAAAAAAABACAA&#10;AAA4AAAAZHJzL2Rvd25yZXYueG1sUEsBAhQAFAAAAAgAh07iQDucg4zHAQAAewMAAA4AAAAAAAAA&#10;AQAgAAAANAEAAGRycy9lMm9Eb2MueG1sUEsFBgAAAAAGAAYAWQEAAG0FAAAAAA==&#10;">
              <v:fill on="f" focussize="0,0"/>
              <v:stroke on="f"/>
              <v:imagedata o:title=""/>
              <o:lock v:ext="edit" aspectratio="f"/>
              <v:textbox inset="0mm,0mm,0mm,0mm" style="mso-fit-shape-to-text:t;">
                <w:txbxContent>
                  <w:p>
                    <w:pPr>
                      <w:pStyle w:val="5"/>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1</w:t>
                    </w:r>
                    <w:r>
                      <w:rPr>
                        <w:rFonts w:hint="eastAsia" w:ascii="宋体" w:hAnsi="宋体" w:cs="宋体"/>
                        <w:sz w:val="28"/>
                        <w:szCs w:val="28"/>
                      </w:rPr>
                      <w:fldChar w:fldCharType="end"/>
                    </w:r>
                    <w:r>
                      <w:rPr>
                        <w:rFonts w:hint="eastAsia" w:ascii="宋体" w:hAnsi="宋体" w:cs="宋体"/>
                        <w:sz w:val="28"/>
                        <w:szCs w:val="28"/>
                        <w:lang w:eastAsia="zh-CN"/>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false"/>
  <w:bordersDoNotSurroundFooter w:val="false"/>
  <w:documentProtection w:enforcement="0"/>
  <w:defaultTabStop w:val="420"/>
  <w:hyphenationZone w:val="36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BjMzg4MzY3ZDJiMzA5MmE2NDVmNmYzNDgzYmM0NDIifQ=="/>
  </w:docVars>
  <w:rsids>
    <w:rsidRoot w:val="00000000"/>
    <w:rsid w:val="020B07BA"/>
    <w:rsid w:val="03A8028B"/>
    <w:rsid w:val="07461277"/>
    <w:rsid w:val="0C3F4EEF"/>
    <w:rsid w:val="178B73C7"/>
    <w:rsid w:val="1B0F27A4"/>
    <w:rsid w:val="1B836CC9"/>
    <w:rsid w:val="1C0F48FF"/>
    <w:rsid w:val="1CF10C6B"/>
    <w:rsid w:val="1D84728B"/>
    <w:rsid w:val="1E0B7101"/>
    <w:rsid w:val="23BD6FE3"/>
    <w:rsid w:val="24350A36"/>
    <w:rsid w:val="24B16B47"/>
    <w:rsid w:val="29C555B3"/>
    <w:rsid w:val="2F9B03F8"/>
    <w:rsid w:val="2FCE6B71"/>
    <w:rsid w:val="2FFFDB83"/>
    <w:rsid w:val="306F4C5E"/>
    <w:rsid w:val="33C37F8A"/>
    <w:rsid w:val="395A1641"/>
    <w:rsid w:val="3DF65F15"/>
    <w:rsid w:val="439B1946"/>
    <w:rsid w:val="43B62227"/>
    <w:rsid w:val="4A18270A"/>
    <w:rsid w:val="4DF46BED"/>
    <w:rsid w:val="4F037CB3"/>
    <w:rsid w:val="52910ADE"/>
    <w:rsid w:val="54481BC9"/>
    <w:rsid w:val="5AEB2E43"/>
    <w:rsid w:val="5B987E30"/>
    <w:rsid w:val="5C337066"/>
    <w:rsid w:val="5D9912D3"/>
    <w:rsid w:val="5E0740DD"/>
    <w:rsid w:val="5FF34165"/>
    <w:rsid w:val="62546CEA"/>
    <w:rsid w:val="637C7C76"/>
    <w:rsid w:val="64B27796"/>
    <w:rsid w:val="6C81017A"/>
    <w:rsid w:val="798B03F2"/>
    <w:rsid w:val="7A020420"/>
    <w:rsid w:val="7AA7205A"/>
    <w:rsid w:val="7B4927AB"/>
    <w:rsid w:val="7C6D071B"/>
    <w:rsid w:val="7C934605"/>
    <w:rsid w:val="7EFF1CA3"/>
    <w:rsid w:val="7F853FCE"/>
    <w:rsid w:val="7FC7E910"/>
    <w:rsid w:val="B77F1B0B"/>
    <w:rsid w:val="B7DBFA98"/>
    <w:rsid w:val="BED19D06"/>
    <w:rsid w:val="D31F7FE6"/>
    <w:rsid w:val="EF73FEFB"/>
    <w:rsid w:val="FCBF86B1"/>
    <w:rsid w:val="FFDF26B5"/>
    <w:rsid w:val="FFDFC7E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Normal Indent"/>
    <w:basedOn w:val="1"/>
    <w:next w:val="1"/>
    <w:qFormat/>
    <w:uiPriority w:val="0"/>
    <w:pPr>
      <w:ind w:firstLine="420" w:firstLineChars="200"/>
    </w:pPr>
    <w:rPr>
      <w:rFonts w:cs="Calibri"/>
    </w:rPr>
  </w:style>
  <w:style w:type="paragraph" w:styleId="3">
    <w:name w:val="Body Text"/>
    <w:basedOn w:val="1"/>
    <w:next w:val="4"/>
    <w:unhideWhenUsed/>
    <w:qFormat/>
    <w:uiPriority w:val="99"/>
    <w:pPr>
      <w:spacing w:beforeLines="0" w:afterLines="0"/>
    </w:pPr>
    <w:rPr>
      <w:rFonts w:hint="default"/>
      <w:sz w:val="69"/>
      <w:szCs w:val="24"/>
    </w:rPr>
  </w:style>
  <w:style w:type="paragraph" w:styleId="4">
    <w:name w:val="Title"/>
    <w:basedOn w:val="1"/>
    <w:next w:val="1"/>
    <w:qFormat/>
    <w:uiPriority w:val="0"/>
    <w:pPr>
      <w:spacing w:before="240" w:beforeLines="0" w:beforeAutospacing="0" w:after="60" w:afterLines="0" w:afterAutospacing="0"/>
      <w:jc w:val="center"/>
      <w:outlineLvl w:val="0"/>
    </w:pPr>
    <w:rPr>
      <w:rFonts w:ascii="Arial" w:hAnsi="Arial" w:eastAsia="宋体" w:cs="Times New Roman"/>
      <w:b/>
      <w:sz w:val="32"/>
    </w:rPr>
  </w:style>
  <w:style w:type="paragraph" w:styleId="5">
    <w:name w:val="footer"/>
    <w:basedOn w:val="1"/>
    <w:next w:val="1"/>
    <w:unhideWhenUsed/>
    <w:qFormat/>
    <w:uiPriority w:val="99"/>
    <w:pPr>
      <w:tabs>
        <w:tab w:val="center" w:pos="4153"/>
        <w:tab w:val="right" w:pos="8306"/>
      </w:tabs>
      <w:snapToGrid w:val="0"/>
      <w:spacing w:beforeLines="0" w:afterLines="0"/>
    </w:pPr>
    <w:rPr>
      <w:rFonts w:hint="default"/>
      <w:sz w:val="18"/>
      <w:szCs w:val="24"/>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customStyle="1" w:styleId="9">
    <w:name w:val="font11"/>
    <w:basedOn w:val="8"/>
    <w:qFormat/>
    <w:uiPriority w:val="0"/>
    <w:rPr>
      <w:rFonts w:hint="eastAsia" w:ascii="宋体" w:hAnsi="宋体" w:eastAsia="宋体" w:cs="宋体"/>
      <w:color w:val="000000"/>
      <w:sz w:val="18"/>
      <w:szCs w:val="18"/>
      <w:u w:val="none"/>
    </w:rPr>
  </w:style>
  <w:style w:type="character" w:customStyle="1" w:styleId="10">
    <w:name w:val="font21"/>
    <w:basedOn w:val="8"/>
    <w:qFormat/>
    <w:uiPriority w:val="0"/>
    <w:rPr>
      <w:rFonts w:hint="eastAsia" w:ascii="仿宋_GB2312" w:eastAsia="仿宋_GB2312" w:cs="仿宋_GB2312"/>
      <w:color w:val="000000"/>
      <w:sz w:val="18"/>
      <w:szCs w:val="18"/>
      <w:u w:val="none"/>
    </w:rPr>
  </w:style>
  <w:style w:type="character" w:customStyle="1" w:styleId="11">
    <w:name w:val="font51"/>
    <w:basedOn w:val="8"/>
    <w:qFormat/>
    <w:uiPriority w:val="0"/>
    <w:rPr>
      <w:rFonts w:hint="eastAsia" w:ascii="仿宋_GB2312" w:eastAsia="仿宋_GB2312" w:cs="仿宋_GB2312"/>
      <w:b/>
      <w:bCs/>
      <w:color w:val="000000"/>
      <w:sz w:val="18"/>
      <w:szCs w:val="18"/>
      <w:u w:val="none"/>
    </w:rPr>
  </w:style>
  <w:style w:type="character" w:customStyle="1" w:styleId="12">
    <w:name w:val="font121"/>
    <w:basedOn w:val="8"/>
    <w:qFormat/>
    <w:uiPriority w:val="0"/>
    <w:rPr>
      <w:rFonts w:ascii="微软雅黑" w:hAnsi="微软雅黑" w:eastAsia="微软雅黑" w:cs="微软雅黑"/>
      <w:color w:val="000000"/>
      <w:sz w:val="18"/>
      <w:szCs w:val="18"/>
      <w:u w:val="none"/>
    </w:rPr>
  </w:style>
  <w:style w:type="character" w:customStyle="1" w:styleId="13">
    <w:name w:val="font131"/>
    <w:basedOn w:val="8"/>
    <w:qFormat/>
    <w:uiPriority w:val="0"/>
    <w:rPr>
      <w:rFonts w:ascii="Arial" w:hAnsi="Arial" w:cs="Arial"/>
      <w:color w:val="000000"/>
      <w:sz w:val="18"/>
      <w:szCs w:val="18"/>
      <w:u w:val="none"/>
    </w:rPr>
  </w:style>
  <w:style w:type="character" w:customStyle="1" w:styleId="14">
    <w:name w:val="font81"/>
    <w:basedOn w:val="8"/>
    <w:qFormat/>
    <w:uiPriority w:val="0"/>
    <w:rPr>
      <w:rFonts w:hint="eastAsia" w:ascii="宋体" w:hAnsi="宋体" w:eastAsia="宋体" w:cs="宋体"/>
      <w:color w:val="000000"/>
      <w:sz w:val="18"/>
      <w:szCs w:val="18"/>
      <w:u w:val="none"/>
    </w:rPr>
  </w:style>
  <w:style w:type="character" w:customStyle="1" w:styleId="15">
    <w:name w:val="font141"/>
    <w:basedOn w:val="8"/>
    <w:qFormat/>
    <w:uiPriority w:val="0"/>
    <w:rPr>
      <w:rFonts w:hint="eastAsia" w:ascii="仿宋_GB2312" w:eastAsia="仿宋_GB2312" w:cs="仿宋_GB2312"/>
      <w:color w:val="000000"/>
      <w:sz w:val="18"/>
      <w:szCs w:val="18"/>
      <w:u w:val="single"/>
    </w:rPr>
  </w:style>
  <w:style w:type="character" w:customStyle="1" w:styleId="16">
    <w:name w:val="font101"/>
    <w:basedOn w:val="8"/>
    <w:qFormat/>
    <w:uiPriority w:val="0"/>
    <w:rPr>
      <w:rFonts w:hint="default" w:ascii="Calibri" w:hAnsi="Calibri" w:cs="Calibri"/>
      <w:color w:val="000000"/>
      <w:sz w:val="21"/>
      <w:szCs w:val="21"/>
      <w:u w:val="none"/>
    </w:rPr>
  </w:style>
  <w:style w:type="character" w:customStyle="1" w:styleId="17">
    <w:name w:val="font112"/>
    <w:basedOn w:val="8"/>
    <w:qFormat/>
    <w:uiPriority w:val="0"/>
    <w:rPr>
      <w:rFonts w:hint="eastAsia" w:ascii="宋体" w:hAnsi="宋体" w:eastAsia="宋体" w:cs="宋体"/>
      <w:color w:val="000000"/>
      <w:sz w:val="21"/>
      <w:szCs w:val="21"/>
      <w:u w:val="none"/>
    </w:rPr>
  </w:style>
  <w:style w:type="character" w:customStyle="1" w:styleId="18">
    <w:name w:val="font12"/>
    <w:basedOn w:val="8"/>
    <w:qFormat/>
    <w:uiPriority w:val="0"/>
    <w:rPr>
      <w:rFonts w:hint="eastAsia" w:ascii="宋体" w:hAnsi="宋体" w:eastAsia="宋体" w:cs="宋体"/>
      <w:color w:val="000000"/>
      <w:sz w:val="18"/>
      <w:szCs w:val="18"/>
      <w:u w:val="none"/>
    </w:rPr>
  </w:style>
  <w:style w:type="character" w:customStyle="1" w:styleId="19">
    <w:name w:val="font122"/>
    <w:basedOn w:val="8"/>
    <w:qFormat/>
    <w:uiPriority w:val="0"/>
    <w:rPr>
      <w:rFonts w:ascii="微软雅黑" w:hAnsi="微软雅黑" w:eastAsia="微软雅黑" w:cs="微软雅黑"/>
      <w:color w:val="000000"/>
      <w:sz w:val="18"/>
      <w:szCs w:val="18"/>
      <w:u w:val="none"/>
    </w:rPr>
  </w:style>
  <w:style w:type="character" w:customStyle="1" w:styleId="20">
    <w:name w:val="font111"/>
    <w:basedOn w:val="8"/>
    <w:qFormat/>
    <w:uiPriority w:val="0"/>
    <w:rPr>
      <w:rFonts w:hint="eastAsia" w:ascii="宋体" w:hAnsi="宋体" w:eastAsia="宋体" w:cs="宋体"/>
      <w:color w:val="000000"/>
      <w:sz w:val="21"/>
      <w:szCs w:val="21"/>
      <w:u w:val="none"/>
    </w:rPr>
  </w:style>
  <w:style w:type="character" w:customStyle="1" w:styleId="21">
    <w:name w:val="font91"/>
    <w:basedOn w:val="8"/>
    <w:qFormat/>
    <w:uiPriority w:val="0"/>
    <w:rPr>
      <w:rFonts w:hint="eastAsia" w:ascii="仿宋_GB2312" w:eastAsia="仿宋_GB2312" w:cs="仿宋_GB2312"/>
      <w:color w:val="FF0000"/>
      <w:sz w:val="16"/>
      <w:szCs w:val="16"/>
      <w:u w:val="none"/>
    </w:rPr>
  </w:style>
  <w:style w:type="character" w:customStyle="1" w:styleId="22">
    <w:name w:val="font31"/>
    <w:basedOn w:val="8"/>
    <w:qFormat/>
    <w:uiPriority w:val="0"/>
    <w:rPr>
      <w:rFonts w:hint="eastAsia" w:ascii="仿宋_GB2312" w:eastAsia="仿宋_GB2312" w:cs="仿宋_GB2312"/>
      <w:color w:val="000000"/>
      <w:sz w:val="16"/>
      <w:szCs w:val="16"/>
      <w:u w:val="none"/>
    </w:rPr>
  </w:style>
  <w:style w:type="character" w:customStyle="1" w:styleId="23">
    <w:name w:val="font71"/>
    <w:basedOn w:val="8"/>
    <w:qFormat/>
    <w:uiPriority w:val="0"/>
    <w:rPr>
      <w:rFonts w:hint="eastAsia" w:ascii="仿宋_GB2312" w:eastAsia="仿宋_GB2312" w:cs="仿宋_GB2312"/>
      <w:color w:val="FF0000"/>
      <w:sz w:val="18"/>
      <w:szCs w:val="18"/>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43</TotalTime>
  <ScaleCrop>false</ScaleCrop>
  <LinksUpToDate>false</LinksUpToDate>
  <CharactersWithSpaces>0</CharactersWithSpaces>
  <Application>WPS Office_11.8.2.10386_F1E327BC-269C-435d-A152-05C5408002CA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2024-04-28T01:37:00Z</dcterms:created>
  <dc:creator>li</dc:creator>
  <cp:lastModifiedBy>gxxc</cp:lastModifiedBy>
  <cp:lastPrinted>2024-05-07T11:48:00Z</cp:lastPrinted>
  <dcterms:modified xsi:type="dcterms:W3CDTF">2024-05-06T18:05:15Z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2052-11.8.2.10386</vt:lpwstr>
  </property>
  <property fmtid="{D5CDD505-2E9C-101B-9397-08002B2CF9AE}" pid="3" name="ICV">
    <vt:lpwstr>1D4D1F550F7A4DA5934DC8F11F65426C_13</vt:lpwstr>
  </property>
</Properties>
</file>